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XTZH技术落地三层架构白皮书——在NAC公</w:t>
      </w:r>
      <w:r>
        <w:rPr>
          <w:rFonts w:eastAsia="等线" w:ascii="Arial" w:cs="Arial" w:hAnsi="Arial"/>
          <w:b w:val="true"/>
          <w:sz w:val="52"/>
        </w:rPr>
        <w:t>链L0/L1/宪法层的完整工程化实现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：NAC稳定币工作组 · 核心协议工程组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：CBPP v1.0、CSNP v2.0、宪法层v1.0、XTZH汇率模型v1.0、黄金储备法典v1.1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XTZH是NAC公链的原生稳定币，其价值锚定于</w:t>
      </w:r>
      <w:r>
        <w:rPr>
          <w:rFonts w:eastAsia="等线" w:ascii="Arial" w:cs="Arial" w:hAnsi="Arial"/>
          <w:b w:val="true"/>
          <w:sz w:val="22"/>
        </w:rPr>
        <w:t>货币、黄金、18种核心商品</w:t>
      </w:r>
      <w:r>
        <w:rPr>
          <w:rFonts w:eastAsia="等线" w:ascii="Arial" w:cs="Arial" w:hAnsi="Arial"/>
          <w:sz w:val="22"/>
        </w:rPr>
        <w:t>的AI动态权重组合，并通过</w:t>
      </w:r>
      <w:r>
        <w:rPr>
          <w:rFonts w:eastAsia="等线" w:ascii="Arial" w:cs="Arial" w:hAnsi="Arial"/>
          <w:b w:val="true"/>
          <w:sz w:val="22"/>
        </w:rPr>
        <w:t>黄金永续合约125%超额覆盖</w:t>
      </w:r>
      <w:r>
        <w:rPr>
          <w:rFonts w:eastAsia="等线" w:ascii="Arial" w:cs="Arial" w:hAnsi="Arial"/>
          <w:sz w:val="22"/>
        </w:rPr>
        <w:t>实现最终兑付保障。本白皮书系统阐述XTZH如何在NAC的三层核心架构中落地：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L0基础层</w:t>
      </w:r>
      <w:r>
        <w:rPr>
          <w:rFonts w:eastAsia="等线" w:ascii="Arial" w:cs="Arial" w:hAnsi="Arial"/>
          <w:sz w:val="22"/>
        </w:rPr>
        <w:t>：为XTZH提供</w:t>
      </w:r>
      <w:r>
        <w:rPr>
          <w:rFonts w:eastAsia="等线" w:ascii="Arial" w:cs="Arial" w:hAnsi="Arial"/>
          <w:b w:val="true"/>
          <w:sz w:val="22"/>
        </w:rPr>
        <w:t>确定性节点身份、资产感知网络路由、共识层收据验证</w:t>
      </w:r>
      <w:r>
        <w:rPr>
          <w:rFonts w:eastAsia="等线" w:ascii="Arial" w:cs="Arial" w:hAnsi="Arial"/>
          <w:sz w:val="22"/>
        </w:rPr>
        <w:t>，构建可审计、低延迟的通信与计算基底。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L1协议层</w:t>
      </w:r>
      <w:r>
        <w:rPr>
          <w:rFonts w:eastAsia="等线" w:ascii="Arial" w:cs="Arial" w:hAnsi="Arial"/>
          <w:sz w:val="22"/>
        </w:rPr>
        <w:t>：实现</w:t>
      </w:r>
      <w:r>
        <w:rPr>
          <w:rFonts w:eastAsia="等线" w:ascii="Arial" w:cs="Arial" w:hAnsi="Arial"/>
          <w:b w:val="true"/>
          <w:sz w:val="22"/>
        </w:rPr>
        <w:t>汇率定价AI模型的可验证推理、XTZH系统合约、黄金储备自动管理、宪法收据签发</w:t>
      </w:r>
      <w:r>
        <w:rPr>
          <w:rFonts w:eastAsia="等线" w:ascii="Arial" w:cs="Arial" w:hAnsi="Arial"/>
          <w:sz w:val="22"/>
        </w:rPr>
        <w:t>，所有操作均通过NVM指令与UDM模块标准化。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</w:t>
      </w:r>
      <w:r>
        <w:rPr>
          <w:rFonts w:eastAsia="等线" w:ascii="Arial" w:cs="Arial" w:hAnsi="Arial"/>
          <w:sz w:val="22"/>
        </w:rPr>
        <w:t>：将XTZH的</w:t>
      </w:r>
      <w:r>
        <w:rPr>
          <w:rFonts w:eastAsia="等线" w:ascii="Arial" w:cs="Arial" w:hAnsi="Arial"/>
          <w:b w:val="true"/>
          <w:sz w:val="22"/>
        </w:rPr>
        <w:t>锚定原则、覆盖率底线、模型治理、紧急干预</w:t>
      </w:r>
      <w:r>
        <w:rPr>
          <w:rFonts w:eastAsia="等线" w:ascii="Arial" w:cs="Arial" w:hAnsi="Arial"/>
          <w:sz w:val="22"/>
        </w:rPr>
        <w:t>固化为链上宪法条款，赋予其最高层级的不可侵犯性。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三层架构共同构成XTZH从</w:t>
      </w:r>
      <w:r>
        <w:rPr>
          <w:rFonts w:eastAsia="等线" w:ascii="Arial" w:cs="Arial" w:hAnsi="Arial"/>
          <w:b w:val="true"/>
          <w:sz w:val="22"/>
        </w:rPr>
        <w:t>算法定价、链上执行、宪法保障</w:t>
      </w:r>
      <w:r>
        <w:rPr>
          <w:rFonts w:eastAsia="等线" w:ascii="Arial" w:cs="Arial" w:hAnsi="Arial"/>
          <w:sz w:val="22"/>
        </w:rPr>
        <w:t>的完整技术闭环。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XTZH在NAC公链中的定位与架构全景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依赖关系图谱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宪法层 (L7)                            │</w:t>
              <w:br/>
              <w:t>│  • 条款1.2: 黄金覆盖率≥125% (永恒)                        │</w:t>
              <w:br/>
              <w:t>│  • 条款2.3: AI模型治理流程                               │</w:t>
              <w:br/>
              <w:t>│  • 条款8.1-8.4: 赎回队列、爆仓禁止、动态杠杆             │</w:t>
              <w:br/>
              <w:t>└─────────────────────────────┬───────────────────────────────┘</w:t>
              <w:br/>
              <w:t xml:space="preserve">                              │ 宪法哈希绑定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L1 协议层 (资产/合约)                   │</w:t>
              <w:br/>
              <w:t>│  ┌─────────────────┐  ┌─────────────────┐                │</w:t>
              <w:br/>
              <w:t>│  │ XTZH系统合约    │  │ 黄金储备管理    │                │</w:t>
              <w:br/>
              <w:t>│  │ • 铸造/赎回     │  │ • 动态杠杆      │                │</w:t>
              <w:br/>
              <w:t>│  │ • 汇率存储      │  │ • 自动减仓      │                │</w:t>
              <w:br/>
              <w:t>│  │ • 宪法收据验证  │  │ • 对冲熔断      │                │</w:t>
              <w:br/>
              <w:t>│  └────────┬────────┘  └────────┬────────┘                │</w:t>
              <w:br/>
              <w:t>│           │                    │                         │</w:t>
              <w:br/>
              <w:t>│           └───┬────────────────┘                         │</w:t>
              <w:br/>
              <w:t>│               ↓                                          │</w:t>
              <w:br/>
              <w:t>│        ┌──────────────────┐                             │</w:t>
              <w:br/>
              <w:t>│        │  XTZH汇率AI模型  │  (链下可验证推理)           │</w:t>
              <w:br/>
              <w:t>│        └──────────────────┘                             │</w:t>
              <w:br/>
              <w:t>└─────────────────────────────┬───────────────────────────────┘</w:t>
              <w:br/>
              <w:t xml:space="preserve">                              │ 调用NVM指令 &amp; UDM验证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L0 基础层                              │</w:t>
              <w:br/>
              <w:t>│  ┌─────────────┐  ┌─────────────┐  ┌─────────────────┐    │</w:t>
              <w:br/>
              <w:t>│  │ 结构化地址  │  │ CSNP网络    │  │ CBPP共识        │    │</w:t>
              <w:br/>
              <w:t>│  │ + DID       │  │ • 资产感知  │  │ • 宪法收据CR    │    │</w:t>
              <w:br/>
              <w:t>│  │             │  │ • 跨链中继  │  │ • 流体区块      │    │</w:t>
              <w:br/>
              <w:t>│  └─────────────┘  └─────────────┘  └─────────────────┘    │</w:t>
              <w:br/>
              <w:t>│                                                           │</w:t>
              <w:br/>
              <w:t>│  ┌─────────────────────────────────────────────────┐     │</w:t>
              <w:br/>
              <w:t>│  │         预言机网络 (ZK/TEE/乐观)               │     │</w:t>
              <w:br/>
              <w:t>│  │         • 宏观特征聚合 • 模型推理 • 证明生成    │     │</w:t>
              <w:br/>
              <w:t>│  └─────────────────────────────────────────────────┘     │</w:t>
              <w:br/>
              <w:t>└────────────────────────────────────────────────────────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核心设计原则</w:t>
      </w:r>
      <w:bookmarkEnd w:id="3"/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宪法先行</w:t>
      </w:r>
      <w:r>
        <w:rPr>
          <w:rFonts w:eastAsia="等线" w:ascii="Arial" w:cs="Arial" w:hAnsi="Arial"/>
          <w:sz w:val="22"/>
        </w:rPr>
        <w:t>：XTZH的所有关键参数与运行规则，必须先经宪法治理固化，方可上线主网。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可验证性</w:t>
      </w:r>
      <w:r>
        <w:rPr>
          <w:rFonts w:eastAsia="等线" w:ascii="Arial" w:cs="Arial" w:hAnsi="Arial"/>
          <w:sz w:val="22"/>
        </w:rPr>
        <w:t>：任何XTZH相关的状态变更（汇率更新、铸造赎回、储备调整）均需携带</w:t>
      </w:r>
      <w:r>
        <w:rPr>
          <w:rFonts w:eastAsia="等线" w:ascii="Arial" w:cs="Arial" w:hAnsi="Arial"/>
          <w:b w:val="true"/>
          <w:sz w:val="22"/>
        </w:rPr>
        <w:t>宪法收据</w:t>
      </w:r>
      <w:r>
        <w:rPr>
          <w:rFonts w:eastAsia="等线" w:ascii="Arial" w:cs="Arial" w:hAnsi="Arial"/>
          <w:sz w:val="22"/>
        </w:rPr>
        <w:t>，且收据本身可被密码学验证。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分层解耦</w:t>
      </w:r>
      <w:r>
        <w:rPr>
          <w:rFonts w:eastAsia="等线" w:ascii="Arial" w:cs="Arial" w:hAnsi="Arial"/>
          <w:sz w:val="22"/>
        </w:rPr>
        <w:t>：L0负责高效可信的数据传输与共识；L1负责业务逻辑与资产状态；宪法层负责规则仲裁与进化。层间通过标准接口通信。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2. L0基础层：确定性通信与可验证计算基底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结构化地址与节点身份（DID）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XTZH预言机节点、CBP节点、跨链中继节点必须使用</w:t>
      </w:r>
      <w:r>
        <w:rPr>
          <w:rFonts w:eastAsia="等线" w:ascii="Arial" w:cs="Arial" w:hAnsi="Arial"/>
          <w:b w:val="true"/>
          <w:sz w:val="22"/>
        </w:rPr>
        <w:t>NAC 32字节结构化地址</w:t>
      </w:r>
      <w:r>
        <w:rPr>
          <w:rFonts w:eastAsia="等线" w:ascii="Arial" w:cs="Arial" w:hAnsi="Arial"/>
          <w:sz w:val="22"/>
        </w:rPr>
        <w:t>，并在GIDS（全域身份目录服务）中注册DID。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关键字段要求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552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XTZH相关要求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kycLevel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预言机节点必须≥2，CBP节点必须≥2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region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仅限合规司法管辖区（由宪法附录定义）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accredited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运营黄金永续合约的节点必须为合格机构投资者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落地方式</w:t>
      </w:r>
      <w:r>
        <w:rPr>
          <w:rFonts w:eastAsia="等线" w:ascii="Arial" w:cs="Arial" w:hAnsi="Arial"/>
          <w:sz w:val="22"/>
        </w:rPr>
        <w:t>：Charter编译器强制检查涉及XTZH系统调用的合约调用者地址是否符合上述要求。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CSNP网络协议支持</w:t>
      </w:r>
      <w:bookmarkEnd w:id="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2.2.1 资产感知路由（AA-PE）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XTZH汇率更新交易、铸造/赎回交易在CSNP网络层自动获得</w:t>
      </w:r>
      <w:r>
        <w:rPr>
          <w:rFonts w:eastAsia="等线" w:ascii="Arial" w:cs="Arial" w:hAnsi="Arial"/>
          <w:b w:val="true"/>
          <w:sz w:val="22"/>
        </w:rPr>
        <w:t>高优先级传播</w:t>
      </w:r>
      <w:r>
        <w:rPr>
          <w:rFonts w:eastAsia="等线" w:ascii="Arial" w:cs="Arial" w:hAnsi="Arial"/>
          <w:sz w:val="22"/>
        </w:rPr>
        <w:t>。AA-PE根据交易中携带的`XTZHRateReceipt`或资产类型标记，匹配以下策略：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130"/>
        <w:gridCol w:w="2130"/>
        <w:gridCol w:w="2595"/>
        <w:gridCol w:w="1425"/>
      </w:tblGrid>
      <w:tr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交易类型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GNACS类比</w:t>
            </w:r>
          </w:p>
        </w:tc>
        <w:tc>
          <w:tcPr>
            <w:tcW w:w="259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传播策略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超时要求</w:t>
            </w:r>
          </w:p>
        </w:tc>
      </w:tr>
      <w:tr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XTZH汇率提交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GG=01 (高流动性)</w:t>
            </w:r>
          </w:p>
        </w:tc>
        <w:tc>
          <w:tcPr>
            <w:tcW w:w="259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即时全网广播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200ms</w:t>
            </w:r>
          </w:p>
        </w:tc>
      </w:tr>
      <w:tr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XTZH大额铸造(&gt;1M)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GG=01 + CC=01</w:t>
            </w:r>
          </w:p>
        </w:tc>
        <w:tc>
          <w:tcPr>
            <w:tcW w:w="259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CBP骨干网+预言机节点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300ms</w:t>
            </w:r>
          </w:p>
        </w:tc>
      </w:tr>
      <w:tr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XTZH赎回队列更新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OO≠00 (状态变更)</w:t>
            </w:r>
          </w:p>
        </w:tc>
        <w:tc>
          <w:tcPr>
            <w:tcW w:w="259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警报通道→监管节点</w:t>
            </w:r>
          </w:p>
        </w:tc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1s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</w:t>
      </w:r>
      <w:r>
        <w:rPr>
          <w:rFonts w:eastAsia="等线" w:ascii="Arial" w:cs="Arial" w:hAnsi="Arial"/>
          <w:sz w:val="22"/>
        </w:rPr>
        <w:t>：CSNP的AA-PE模块内置XTZH交易类型识别器，无需GNACS查询，直接根据交易方法ID（如`submitRate`）映射策略。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2.2.2 跨链中继网络（CCRN）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XTZH作为NAC与外部公链的价值锚定媒介，其跨链转移（如NAC↔Ethereum）依赖CCRN。CSNP V2.0的跨链中继节点必须：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在GIDS注册角色`CROSS_CHAIN_RELAY`，质押50万XIC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维护与NAC根链CBP及目标链中继节点的</w:t>
      </w:r>
      <w:r>
        <w:rPr>
          <w:rFonts w:eastAsia="等线" w:ascii="Arial" w:cs="Arial" w:hAnsi="Arial"/>
          <w:b w:val="true"/>
          <w:sz w:val="22"/>
        </w:rPr>
        <w:t>持久化低延迟连接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转发XTZH跨链交易时，附带</w:t>
      </w:r>
      <w:r>
        <w:rPr>
          <w:rFonts w:eastAsia="等线" w:ascii="Arial" w:cs="Arial" w:hAnsi="Arial"/>
          <w:b w:val="true"/>
          <w:sz w:val="22"/>
        </w:rPr>
        <w:t>中继签名收据</w:t>
      </w:r>
      <w:r>
        <w:rPr>
          <w:rFonts w:eastAsia="等线" w:ascii="Arial" w:cs="Arial" w:hAnsi="Arial"/>
          <w:sz w:val="22"/>
        </w:rPr>
        <w:t>（UCA可审计）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2.2.3 统一跨链审计器（UCA）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UCA记录所有XTZH跨链转发的行为日志，生成可验证收据。若中继节点故意延迟或丢弃XTZH跨链交易，UCA证据可提交宪法法院，触发</w:t>
      </w:r>
      <w:r>
        <w:rPr>
          <w:rFonts w:eastAsia="等线" w:ascii="Arial" w:cs="Arial" w:hAnsi="Arial"/>
          <w:b w:val="true"/>
          <w:sz w:val="22"/>
        </w:rPr>
        <w:t>跨链信誉惩罚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2.3 CBPP共识层支持</w:t>
      </w:r>
      <w:bookmarkEnd w:id="1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2.3.1 宪法收据（CR）强制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任何修改XTZH系统状态的交易（`submitRate`、`mint`、`redeem`、`rebalanceGold`）必须附带</w:t>
      </w:r>
      <w:r>
        <w:rPr>
          <w:rFonts w:eastAsia="等线" w:ascii="Arial" w:cs="Arial" w:hAnsi="Arial"/>
          <w:b w:val="true"/>
          <w:sz w:val="22"/>
        </w:rPr>
        <w:t>有效宪法收据</w:t>
      </w:r>
      <w:r>
        <w:rPr>
          <w:rFonts w:eastAsia="等线" w:ascii="Arial" w:cs="Arial" w:hAnsi="Arial"/>
          <w:sz w:val="22"/>
        </w:rPr>
        <w:t>。CBPP节点验证收据后方可打包进流体区块。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CR字段映射</w:t>
      </w:r>
      <w:r>
        <w:rPr>
          <w:rFonts w:eastAsia="等线" w:ascii="Arial" w:cs="Arial" w:hAnsi="Arial"/>
          <w:sz w:val="22"/>
        </w:rPr>
        <w:t>（以XTZH汇率提交为例）：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ConstitutionalReceipt {</w:t>
              <w:br/>
              <w:t xml:space="preserve">    transaction_hash = sha3(tx);</w:t>
              <w:br/>
              <w:t xml:space="preserve">    constitutional_hash = CURRENT_CONSTITUTION_HASH;  // 宪法层提供</w:t>
              <w:br/>
              <w:t xml:space="preserve">    clause_index = 0x0102;  // 条款1.2“黄金覆盖率”</w:t>
              <w:br/>
              <w:t xml:space="preserve">    execution_result_hash = ai_model_output_hash;      // 汇率推理结果哈希</w:t>
              <w:br/>
              <w:t xml:space="preserve">    timestamp = unix_ms();</w:t>
              <w:br/>
              <w:t xml:space="preserve">    validity_window = 120;</w:t>
              <w:br/>
              <w:t xml:space="preserve">    validator_signature = cee_signature;              // CEE签名</w:t>
              <w:br/>
              <w:t xml:space="preserve">    receipt_id = hash(...);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2.3.2 流体区块与收据权重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CBPP的</w:t>
      </w:r>
      <w:r>
        <w:rPr>
          <w:rFonts w:eastAsia="等线" w:ascii="Arial" w:cs="Arial" w:hAnsi="Arial"/>
          <w:b w:val="true"/>
          <w:sz w:val="22"/>
        </w:rPr>
        <w:t>收据权重分叉选择规则</w:t>
      </w:r>
      <w:r>
        <w:rPr>
          <w:rFonts w:eastAsia="等线" w:ascii="Arial" w:cs="Arial" w:hAnsi="Arial"/>
          <w:sz w:val="22"/>
        </w:rPr>
        <w:t>与XTZH交易费挂钩。XTZH大额赎回交易通常支付较高手续费，从而获得更高收据权重，激励CBP优先打包。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2.4 预言机网络层（可验证计算）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XTZH汇率定价依赖</w:t>
      </w:r>
      <w:r>
        <w:rPr>
          <w:rFonts w:eastAsia="等线" w:ascii="Arial" w:cs="Arial" w:hAnsi="Arial"/>
          <w:b w:val="true"/>
          <w:sz w:val="22"/>
        </w:rPr>
        <w:t>50维宏观特征</w:t>
      </w:r>
      <w:r>
        <w:rPr>
          <w:rFonts w:eastAsia="等线" w:ascii="Arial" w:cs="Arial" w:hAnsi="Arial"/>
          <w:sz w:val="22"/>
        </w:rPr>
        <w:t>的AI模型推理。该推理不在链上执行，而是在</w:t>
      </w:r>
      <w:r>
        <w:rPr>
          <w:rFonts w:eastAsia="等线" w:ascii="Arial" w:cs="Arial" w:hAnsi="Arial"/>
          <w:b w:val="true"/>
          <w:sz w:val="22"/>
        </w:rPr>
        <w:t>预言机节点集群</w:t>
      </w:r>
      <w:r>
        <w:rPr>
          <w:rFonts w:eastAsia="等线" w:ascii="Arial" w:cs="Arial" w:hAnsi="Arial"/>
          <w:sz w:val="22"/>
        </w:rPr>
        <w:t>中完成，并生成可验证证明。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2.4.1 节点类型与部署规格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110"/>
        <w:gridCol w:w="2205"/>
        <w:gridCol w:w="1980"/>
        <w:gridCol w:w="132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节点类型</w:t>
            </w:r>
          </w:p>
        </w:tc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数量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硬件要求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证明类型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延迟目标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ZK节点</w:t>
            </w:r>
          </w:p>
        </w:tc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H100, 128GB RAM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Groth16 (BN254)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≤10s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TEE节点</w:t>
            </w:r>
          </w:p>
        </w:tc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机密计算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NVIDIA远程认证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≤500ms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乐观节点</w:t>
            </w:r>
          </w:p>
        </w:tc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2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32核CPU, 64GB RAM</w:t>
            </w:r>
          </w:p>
        </w:tc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Ed25519签名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≤100ms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2.4.2 宏观特征聚合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每日UTC 11:30，预言机节点从多源（IMF、LBMA、LME、BLS等）拉取50维特征，经卡尔曼滤波插值后，统一采用</w:t>
      </w:r>
      <w:r>
        <w:rPr>
          <w:rFonts w:eastAsia="等线" w:ascii="Arial" w:cs="Arial" w:hAnsi="Arial"/>
          <w:b w:val="true"/>
          <w:sz w:val="22"/>
        </w:rPr>
        <w:t>对称量化（int8）</w:t>
      </w:r>
      <w:r>
        <w:rPr>
          <w:rFonts w:eastAsia="等线" w:ascii="Arial" w:cs="Arial" w:hAnsi="Arial"/>
          <w:sz w:val="22"/>
        </w:rPr>
        <w:t>格式，scale=0.023529。特征向量哈希上链存证。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2.4.3 推理与证明生成</w:t>
      </w:r>
      <w:bookmarkEnd w:id="16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ZK节点</w:t>
      </w:r>
      <w:r>
        <w:rPr>
          <w:rFonts w:eastAsia="等线" w:ascii="Arial" w:cs="Arial" w:hAnsi="Arial"/>
          <w:sz w:val="22"/>
        </w:rPr>
        <w:t>：加载INT8量化ONNX模型，运行Nexus zkMCP编译的电路，生成Groth16证明（~1.2KB）。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TEE节点</w:t>
      </w:r>
      <w:r>
        <w:rPr>
          <w:rFonts w:eastAsia="等线" w:ascii="Arial" w:cs="Arial" w:hAnsi="Arial"/>
          <w:sz w:val="22"/>
        </w:rPr>
        <w:t>：在NVIDIA H100机密计算容器中运行FP16模型，生成远程认证报告（~4KB）。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乐观节点</w:t>
      </w:r>
      <w:r>
        <w:rPr>
          <w:rFonts w:eastAsia="等线" w:ascii="Arial" w:cs="Arial" w:hAnsi="Arial"/>
          <w:sz w:val="22"/>
        </w:rPr>
        <w:t>：运行FP32模型，直接输出汇率并签名。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2.4.4 聚合与提交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聚合器收集至少</w:t>
      </w:r>
      <w:r>
        <w:rPr>
          <w:rFonts w:eastAsia="等线" w:ascii="Arial" w:cs="Arial" w:hAnsi="Arial"/>
          <w:b w:val="true"/>
          <w:sz w:val="22"/>
        </w:rPr>
        <w:t>5个有效输出</w:t>
      </w:r>
      <w:r>
        <w:rPr>
          <w:rFonts w:eastAsia="等线" w:ascii="Arial" w:cs="Arial" w:hAnsi="Arial"/>
          <w:sz w:val="22"/>
        </w:rPr>
        <w:t>（剔除与中位数偏差&gt;0.3%的离群值），取中位数，打包成`XTZHRateReceipt`，收集≥5个节点的BLS聚合签名，提交至L1的`XTZHFeed`合约。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3. L1协议层：汇率生成与储备管理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3.1 汇率定价AI模型（链下+链上验证）</w:t>
      </w:r>
      <w:bookmarkEnd w:id="1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3.1.1 模型规范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552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属性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架构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Transformer(4层) + 双阶段注意力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输入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50维int8量化特征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(rate_sdr, w_fx, w_au, w_com, deltas[18])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参数量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2.1M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量化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对称INT8，per-tensor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框架</w:t>
            </w:r>
          </w:p>
        </w:tc>
        <w:tc>
          <w:tcPr>
            <w:tcW w:w="55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PyTorch 2.4 → ONNX → Nexus zkMCP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r>
        <w:rPr>
          <w:rFonts w:eastAsia="等线" w:ascii="Arial" w:cs="Arial" w:hAnsi="Arial"/>
          <w:b w:val="true"/>
          <w:sz w:val="30"/>
        </w:rPr>
        <w:t>3.1.2 链上验证</w:t>
      </w:r>
      <w:bookmarkEnd w:id="21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UDM模块</w:t>
      </w:r>
      <w:r>
        <w:rPr>
          <w:rFonts w:eastAsia="等线" w:ascii="Arial" w:cs="Arial" w:hAnsi="Arial"/>
          <w:sz w:val="22"/>
        </w:rPr>
        <w:t xml:space="preserve"> `0x00030001` 定义XTZH汇率收据的验证规则。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NVM指令</w:t>
      </w:r>
      <w:r>
        <w:rPr>
          <w:rFonts w:eastAsia="等线" w:ascii="Arial" w:cs="Arial" w:hAnsi="Arial"/>
          <w:sz w:val="22"/>
        </w:rPr>
        <w:t xml:space="preserve"> `ZK_VERIFY_GROTH16` (0xF3)、`TEE_VERIFY_NVIDIA` (0xF4) 内置验证逻辑。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系统常量</w:t>
      </w:r>
      <w:r>
        <w:rPr>
          <w:rFonts w:eastAsia="等线" w:ascii="Arial" w:cs="Arial" w:hAnsi="Arial"/>
          <w:sz w:val="22"/>
        </w:rPr>
        <w:t xml:space="preserve"> `XTZH_MODEL_HASH` 存储当前活跃模型版本哈希，由治理投票更新。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3.2 XTZH系统合约（Charter实现）</w:t>
      </w:r>
      <w:bookmarkEnd w:id="2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3.2.1 接口定义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XTZH系统合约（NAC原生）</w:t>
              <w:br/>
              <w:t>contract XTZH is SystemContract {</w:t>
              <w:br/>
              <w:t xml:space="preserve">    // ---------- 状态 ----------</w:t>
              <w:br/>
              <w:t xml:space="preserve">    XTZHRate public latestRate;           // 最新汇率（每纪元更新）</w:t>
              <w:br/>
              <w:t xml:space="preserve">    mapping(Address =&gt; CustodyRecord) public custody; // 铸造托管记录</w:t>
              <w:br/>
              <w:t xml:space="preserve">    ReservePool public reserve;           // 三层缓冲池</w:t>
              <w:br/>
              <w:t xml:space="preserve">    </w:t>
              <w:br/>
              <w:t xml:space="preserve">    // ---------- 汇率管理 ----------</w:t>
              <w:br/>
              <w:t xml:space="preserve">    @Role("CBP")</w:t>
              <w:br/>
              <w:t xml:space="preserve">    @RequiresConstitutionalReceipt</w:t>
              <w:br/>
              <w:t xml:space="preserve">    func submitRate(receipt: XTZHRateReceipt) {</w:t>
              <w:br/>
              <w:t xml:space="preserve">        // 1. 验证收据（签名、宪法哈希、时效性）</w:t>
              <w:br/>
              <w:t xml:space="preserve">        // 2. 写入系统状态树</w:t>
              <w:br/>
              <w:t xml:space="preserve">        // 3. 触发事件</w:t>
              <w:br/>
              <w:t xml:space="preserve">    }</w:t>
              <w:br/>
              <w:t xml:space="preserve">    </w:t>
              <w:br/>
              <w:t xml:space="preserve">    // ---------- 铸造与赎回 ----------</w:t>
              <w:br/>
              <w:t xml:space="preserve">    @KYC(2)</w:t>
              <w:br/>
              <w:t xml:space="preserve">    @NotSanctioned</w:t>
              <w:br/>
              <w:t xml:space="preserve">    func mint(xtzhAmount: uint256) {</w:t>
              <w:br/>
              <w:t xml:space="preserve">        // 1. 锁定XTZH（实际是增发，但需超额抵押逻辑）</w:t>
              <w:br/>
              <w:t xml:space="preserve">        // 2. 更新custody记录</w:t>
              <w:br/>
              <w:t xml:space="preserve">        // 3. 调用黄金储备管理器检查覆盖率</w:t>
              <w:br/>
              <w:t xml:space="preserve">    }</w:t>
              <w:br/>
              <w:t xml:space="preserve">    </w:t>
              <w:br/>
              <w:t xml:space="preserve">    func redeem(xtzhAmount: uint256) {</w:t>
              <w:br/>
              <w:t xml:space="preserve">        // 1. 检查赎回队列/动态费率</w:t>
              <w:br/>
              <w:t xml:space="preserve">        // 2. 销毁XTZH</w:t>
              <w:br/>
              <w:t xml:space="preserve">        // 3. 从缓冲池/平仓支付</w:t>
              <w:br/>
              <w:t xml:space="preserve">    }</w:t>
              <w:br/>
              <w:t xml:space="preserve">    </w:t>
              <w:br/>
              <w:t xml:space="preserve">    // ---------- 视图函数 ----------</w:t>
              <w:br/>
              <w:t xml:space="preserve">    func getRate() -&gt; XTZHRate view {</w:t>
              <w:br/>
              <w:t xml:space="preserve">        return latestRate;</w:t>
              <w:br/>
              <w:t xml:space="preserve">    }</w:t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3.2.2 核心数据结构（UDM序列化）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XTZHRate {</w:t>
              <w:br/>
              <w:t xml:space="preserve">    uint64 timestamp = 1;</w:t>
              <w:br/>
              <w:t xml:space="preserve">    uint64 rate_sdr = 2;      // 1e6精度</w:t>
              <w:br/>
              <w:t xml:space="preserve">    uint64 rate_usd = 3;      // 1e6精度</w:t>
              <w:br/>
              <w:t xml:space="preserve">    uint32 w_fx = 4;          // 基点</w:t>
              <w:br/>
              <w:t xml:space="preserve">    uint32 w_au = 5;</w:t>
              <w:br/>
              <w:t xml:space="preserve">    uint32 w_com = 6;</w:t>
              <w:br/>
              <w:t xml:space="preserve">    sint32 deltas = 7;        // 18×6bit压缩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3.3 黄金永续合约储备管理</w:t>
      </w:r>
      <w:bookmarkEnd w:id="2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6" w:id="26"/>
      <w:r>
        <w:rPr>
          <w:rFonts w:eastAsia="等线" w:ascii="Arial" w:cs="Arial" w:hAnsi="Arial"/>
          <w:b w:val="true"/>
          <w:sz w:val="30"/>
        </w:rPr>
        <w:t>3.3.1 动态杠杆与波动率感知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NVM指令 `GOLD_GET_VOL` (0xE5) 读取30日 realised volatility，`GOLD_SET_LEVERAGE` (0xE6) 由`GoldReserveManager`合约调用，自动调整各交易所杠杆倍数。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@Role("RISK_ENGINE")</w:t>
              <w:br/>
              <w:t>func adjustLeverage() {</w:t>
              <w:br/>
              <w:t xml:space="preserve">    let vol = __nvm_gold_get_vol(30);</w:t>
              <w:br/>
              <w:t xml:space="preserve">    let base_leverage = 125;  // 1.25x基点</w:t>
              <w:br/>
              <w:t xml:space="preserve">    let normal_vol = 15;</w:t>
              <w:br/>
              <w:t xml:space="preserve">    let new_leverage = base_leverage * normal_vol / max(vol, 5);</w:t>
              <w:br/>
              <w:t xml:space="preserve">    new_leverage = clamp(new_leverage, 25, 150);</w:t>
              <w:br/>
              <w:t xml:space="preserve">    __nvm_gold_set_leverage(new_leverage);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7" w:id="27"/>
      <w:r>
        <w:rPr>
          <w:rFonts w:eastAsia="等线" w:ascii="Arial" w:cs="Arial" w:hAnsi="Arial"/>
          <w:b w:val="true"/>
          <w:sz w:val="30"/>
        </w:rPr>
        <w:t>3.3.2 自动减仓协议（ADP）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当交易所保证金率 &lt; 15% 时，`GoldReserveManager`触发`autoDeleverage`，执行TWAP平仓，并将释放资金存入隔离账户。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3.3.3 熔断机制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宪法条款强制：若覆盖率 &lt; 125% 持续1分钟，自动触发</w:t>
      </w:r>
      <w:r>
        <w:rPr>
          <w:rFonts w:eastAsia="等线" w:ascii="Arial" w:cs="Arial" w:hAnsi="Arial"/>
          <w:b w:val="true"/>
          <w:sz w:val="22"/>
        </w:rPr>
        <w:t>二级熔断</w:t>
      </w:r>
      <w:r>
        <w:rPr>
          <w:rFonts w:eastAsia="等线" w:ascii="Arial" w:cs="Arial" w:hAnsi="Arial"/>
          <w:sz w:val="22"/>
        </w:rPr>
        <w:t>——暂停所有新铸造，`XTZH.mint`方法返回错误码。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3.4 宪法收据签发与验证</w:t>
      </w:r>
      <w:bookmarkEnd w:id="2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0" w:id="30"/>
      <w:r>
        <w:rPr>
          <w:rFonts w:eastAsia="等线" w:ascii="Arial" w:cs="Arial" w:hAnsi="Arial"/>
          <w:b w:val="true"/>
          <w:sz w:val="30"/>
        </w:rPr>
        <w:t>3.4.1 宪法执行引擎（CEE）集成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XTZH相关的CR由CEE签发。CEE节点需运行以下校验逻辑：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铸造请求</w:t>
      </w:r>
      <w:r>
        <w:rPr>
          <w:rFonts w:eastAsia="等线" w:ascii="Arial" w:cs="Arial" w:hAnsi="Arial"/>
          <w:sz w:val="22"/>
        </w:rPr>
        <w:t>：检查用户KYC、地址司法管辖、铸造金额是否超过当日限额（由治理设定）。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赎回请求</w:t>
      </w:r>
      <w:r>
        <w:rPr>
          <w:rFonts w:eastAsia="等线" w:ascii="Arial" w:cs="Arial" w:hAnsi="Arial"/>
          <w:sz w:val="22"/>
        </w:rPr>
        <w:t>：检查赎回队列状态、动态费率、缓冲池余额。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汇率提交</w:t>
      </w:r>
      <w:r>
        <w:rPr>
          <w:rFonts w:eastAsia="等线" w:ascii="Arial" w:cs="Arial" w:hAnsi="Arial"/>
          <w:sz w:val="22"/>
        </w:rPr>
        <w:t>：验证AI推理输出的合理性（如权重和=10000，偏离系数零和）。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1" w:id="31"/>
      <w:r>
        <w:rPr>
          <w:rFonts w:eastAsia="等线" w:ascii="Arial" w:cs="Arial" w:hAnsi="Arial"/>
          <w:b w:val="true"/>
          <w:sz w:val="30"/>
        </w:rPr>
        <w:t>3.4.2 链上验证器（UDM）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所有CBP节点内置UDM模块`0x00020001`，自动验证任何携带CR的交易。验证失败的交易立即丢弃。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3.5 NVM指令扩展与UDM模块</w:t>
      </w:r>
      <w:bookmarkEnd w:id="3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245"/>
        <w:gridCol w:w="1860"/>
        <w:gridCol w:w="2280"/>
        <w:gridCol w:w="1035"/>
        <w:gridCol w:w="1860"/>
      </w:tblGrid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操作码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指令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Gas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关联模块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XTZH_GET_RATE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读取系统状态树中最新汇率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XTZHFeed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0xF1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XTZH_COMPOSE_RATE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预言机专用：根据权重+价格计算汇率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1,500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XTZH预言机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0xF2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BLS_VERIFY_AGGREGATED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验证BLS聚合签名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5,000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CBPP/预言机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0xF3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ZK_VERIFY_GROTH16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验证Groth16证明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20,000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XTZH预言机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0xF4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TEE_VERIFY_NVIDIA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验证NVIDIA远程认证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8,000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XTZH预言机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0xE5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GOLD_GET_VOL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获取黄金30日波动率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1,000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黄金储备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0xE6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GOLD_SET_LEVERAGE</w:t>
            </w:r>
          </w:p>
        </w:tc>
        <w:tc>
          <w:tcPr>
            <w:tcW w:w="22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设置交易所杠杆</w:t>
            </w:r>
          </w:p>
        </w:tc>
        <w:tc>
          <w:tcPr>
            <w:tcW w:w="10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2,500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黄金储备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4. 宪法层：规则固化与治理</w:t>
      </w:r>
      <w:bookmarkEnd w:id="3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4.1 XTZH相关宪法条款（NCCL实现）</w:t>
      </w:r>
      <w:bookmarkEnd w:id="3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5" w:id="35"/>
      <w:r>
        <w:rPr>
          <w:rFonts w:eastAsia="等线" w:ascii="Arial" w:cs="Arial" w:hAnsi="Arial"/>
          <w:b w:val="true"/>
          <w:sz w:val="30"/>
        </w:rPr>
        <w:t>4.1.1 永恒条款（不可修改）</w:t>
      </w:r>
      <w:bookmarkEnd w:id="3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条款0.1：三重锚定原则</w:t>
      </w:r>
      <w:r>
        <w:rPr>
          <w:rFonts w:eastAsia="等线" w:ascii="Arial" w:cs="Arial" w:hAnsi="Arial"/>
          <w:sz w:val="22"/>
        </w:rPr>
        <w:t>（已通过）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XTZH_ANCHOR_PRINCIPLE:</w:t>
              <w:br/>
              <w:t xml:space="preserve">    level = 0</w:t>
              <w:br/>
              <w:t xml:space="preserve">    forall t: Timestamp:</w:t>
              <w:br/>
              <w:t xml:space="preserve">        XTZH.price(t) = f(w_fx(t), w_au(t), w_com(t)) and</w:t>
              <w:br/>
              <w:t xml:space="preserve">        w_fx in [3500,4500] and w_au</w:t>
            </w:r>
            <w:r>
              <w:rPr>
                <w:rFonts w:eastAsia="Consolas" w:ascii="Consolas" w:cs="Consolas" w:hAnsi="Consolas"/>
                <w:sz w:val="22"/>
              </w:rPr>
              <w:t xml:space="preserve"> in [500,2000] and w_com in [4000,6000]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条款1.2：黄金覆盖率底线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XTZH_GOLD_COVERAGE:</w:t>
              <w:br/>
              <w:t xml:space="preserve">    level = 0</w:t>
              <w:br/>
              <w:t xml:space="preserve">    forall t: Timestamp:</w:t>
              <w:br/>
              <w:t xml:space="preserve">        let target = XTZH.circulation(t) * XTZH.price(t) * XTZH.w_au(t) / 10000</w:t>
              <w:br/>
              <w:t xml:space="preserve">        let holding = GOLD_CONTRACT.total_value(t)</w:t>
              <w:br/>
              <w:t xml:space="preserve">        holding &gt;= target * 125 / 10</w:t>
            </w:r>
            <w:r>
              <w:rPr>
                <w:rFonts w:eastAsia="Consolas" w:ascii="Consolas" w:cs="Consolas" w:hAnsi="Consolas"/>
                <w:sz w:val="22"/>
              </w:rPr>
              <w:t>0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条款0.4：赎回不可拒绝原则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6" w:id="36"/>
      <w:r>
        <w:rPr>
          <w:rFonts w:eastAsia="等线" w:ascii="Arial" w:cs="Arial" w:hAnsi="Arial"/>
          <w:b w:val="true"/>
          <w:sz w:val="30"/>
        </w:rPr>
        <w:t>4.1.2 战略条款（需宪法法院+全民公投）</w:t>
      </w:r>
      <w:bookmarkEnd w:id="3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条款2.3：XTZH汇率模型治理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XTZH_MODEL_GOVERNANCE:</w:t>
              <w:br/>
              <w:t xml:space="preserve">    level = 1</w:t>
              <w:br/>
              <w:t xml:space="preserve">    forall v: ModelVersion:</w:t>
              <w:br/>
              <w:t xml:space="preserve">        if Model.is_active(v) then</w:t>
              <w:br/>
              <w:t xml:space="preserve">            exists p: Proposal:</w:t>
              <w:br/>
              <w:t xml:space="preserve">                p.type = MODEL_UPGRADE and</w:t>
              <w:br/>
              <w:t xml:space="preserve">                p.target = v and</w:t>
              <w:br/>
              <w:t xml:space="preserve">                p.approval_rate</w:t>
            </w:r>
            <w:r>
              <w:rPr>
                <w:rFonts w:eastAsia="Consolas" w:ascii="Consolas" w:cs="Consolas" w:hAnsi="Consolas"/>
                <w:sz w:val="22"/>
              </w:rPr>
              <w:t xml:space="preserve"> &gt;= 0.66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条款2.8：波动率自适应杠杆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7" w:id="37"/>
      <w:r>
        <w:rPr>
          <w:rFonts w:eastAsia="等线" w:ascii="Arial" w:cs="Arial" w:hAnsi="Arial"/>
          <w:b w:val="true"/>
          <w:sz w:val="30"/>
        </w:rPr>
        <w:t>4.1.3 战术条款（XIC简单多数）</w:t>
      </w:r>
      <w:bookmarkEnd w:id="3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条款3.1</w:t>
      </w:r>
      <w:r>
        <w:rPr>
          <w:rFonts w:eastAsia="等线" w:ascii="Arial" w:cs="Arial" w:hAnsi="Arial"/>
          <w:sz w:val="22"/>
        </w:rPr>
        <w:t>: 18商品静态权重年度微调</w:t>
        <w:br/>
      </w:r>
      <w:r>
        <w:rPr>
          <w:rFonts w:eastAsia="等线" w:ascii="Arial" w:cs="Arial" w:hAnsi="Arial"/>
          <w:b w:val="true"/>
          <w:sz w:val="22"/>
        </w:rPr>
        <w:t>条款3.2</w:t>
      </w:r>
      <w:r>
        <w:rPr>
          <w:rFonts w:eastAsia="等线" w:ascii="Arial" w:cs="Arial" w:hAnsi="Arial"/>
          <w:sz w:val="22"/>
        </w:rPr>
        <w:t>: 赎回队列每日上限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8" w:id="38"/>
      <w:r>
        <w:rPr>
          <w:rFonts w:eastAsia="等线" w:ascii="Arial" w:cs="Arial" w:hAnsi="Arial"/>
          <w:b w:val="true"/>
          <w:sz w:val="32"/>
        </w:rPr>
        <w:t>4.2 宪法收据与宪法哈希绑定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每个XTZH相关交易在提交时，其CR中的`constitutional_hash`必须等于当前`Constitution.state_root`。节点每24小时同步宪法版本，拒绝任何使用旧宪法收据的交易（允许1小时缓冲期）。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宪法升级时</w:t>
      </w:r>
      <w:r>
        <w:rPr>
          <w:rFonts w:eastAsia="等线" w:ascii="Arial" w:cs="Arial" w:hAnsi="Arial"/>
          <w:sz w:val="22"/>
        </w:rPr>
        <w:t>：旧宪法收据在激活高度后</w:t>
      </w:r>
      <w:r>
        <w:rPr>
          <w:rFonts w:eastAsia="等线" w:ascii="Arial" w:cs="Arial" w:hAnsi="Arial"/>
          <w:b w:val="true"/>
          <w:sz w:val="22"/>
        </w:rPr>
        <w:t>自动失效</w:t>
      </w:r>
      <w:r>
        <w:rPr>
          <w:rFonts w:eastAsia="等线" w:ascii="Arial" w:cs="Arial" w:hAnsi="Arial"/>
          <w:sz w:val="22"/>
        </w:rPr>
        <w:t>，所有待处理交易需重新获取新宪法收据。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9" w:id="39"/>
      <w:r>
        <w:rPr>
          <w:rFonts w:eastAsia="等线" w:ascii="Arial" w:cs="Arial" w:hAnsi="Arial"/>
          <w:b w:val="true"/>
          <w:sz w:val="32"/>
        </w:rPr>
        <w:t>4.3 汇率模型与储备参数的治理流程</w:t>
      </w:r>
      <w:bookmarkEnd w:id="3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0" w:id="40"/>
      <w:r>
        <w:rPr>
          <w:rFonts w:eastAsia="等线" w:ascii="Arial" w:cs="Arial" w:hAnsi="Arial"/>
          <w:b w:val="true"/>
          <w:sz w:val="30"/>
        </w:rPr>
        <w:t>4.3.1 AI模型升级提案</w:t>
      </w:r>
      <w:bookmarkEnd w:id="40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研发阶段</w:t>
      </w:r>
      <w:r>
        <w:rPr>
          <w:rFonts w:eastAsia="等线" w:ascii="Arial" w:cs="Arial" w:hAnsi="Arial"/>
          <w:sz w:val="22"/>
        </w:rPr>
        <w:t>：新模型在测试网影子运行30天，生成A/B测试报告。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提案提交</w:t>
      </w:r>
      <w:r>
        <w:rPr>
          <w:rFonts w:eastAsia="等线" w:ascii="Arial" w:cs="Arial" w:hAnsi="Arial"/>
          <w:sz w:val="22"/>
        </w:rPr>
        <w:t>：使用附件E模板，包含模型哈希、ONNX哈希、ZK电路哈希、性能对比数据。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宪法法院审查</w:t>
      </w:r>
      <w:r>
        <w:rPr>
          <w:rFonts w:eastAsia="等线" w:ascii="Arial" w:cs="Arial" w:hAnsi="Arial"/>
          <w:sz w:val="22"/>
        </w:rPr>
        <w:t>：5/9法官确认新模型不违反永恒条款。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全民公投</w:t>
      </w:r>
      <w:r>
        <w:rPr>
          <w:rFonts w:eastAsia="等线" w:ascii="Arial" w:cs="Arial" w:hAnsi="Arial"/>
          <w:sz w:val="22"/>
        </w:rPr>
        <w:t>：21天投票期，参与率≥40%，赞成率≥66%。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冷静期</w:t>
      </w:r>
      <w:r>
        <w:rPr>
          <w:rFonts w:eastAsia="等线" w:ascii="Arial" w:cs="Arial" w:hAnsi="Arial"/>
          <w:sz w:val="22"/>
        </w:rPr>
        <w:t>：7天，期间可紧急叫停。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激活</w:t>
      </w:r>
      <w:r>
        <w:rPr>
          <w:rFonts w:eastAsia="等线" w:ascii="Arial" w:cs="Arial" w:hAnsi="Arial"/>
          <w:sz w:val="22"/>
        </w:rPr>
        <w:t>：根链`XTZHFeed`合约调用`upgradeModel`，更新系统常量`XTZH_MODEL_HASH`。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1" w:id="41"/>
      <w:r>
        <w:rPr>
          <w:rFonts w:eastAsia="等线" w:ascii="Arial" w:cs="Arial" w:hAnsi="Arial"/>
          <w:b w:val="true"/>
          <w:sz w:val="30"/>
        </w:rPr>
        <w:t>4.3.2 黄金储备参数调整</w:t>
      </w:r>
      <w:bookmarkEnd w:id="41"/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动态杠杆公式参数</w:t>
      </w:r>
      <w:r>
        <w:rPr>
          <w:rFonts w:eastAsia="等线" w:ascii="Arial" w:cs="Arial" w:hAnsi="Arial"/>
          <w:sz w:val="22"/>
        </w:rPr>
        <w:t>（α、基准波动率）：战略级，66%投票。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自动减仓阈值</w:t>
      </w:r>
      <w:r>
        <w:rPr>
          <w:rFonts w:eastAsia="等线" w:ascii="Arial" w:cs="Arial" w:hAnsi="Arial"/>
          <w:sz w:val="22"/>
        </w:rPr>
        <w:t>：战术级，51%投票。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交易所准入/剔除</w:t>
      </w:r>
      <w:r>
        <w:rPr>
          <w:rFonts w:eastAsia="等线" w:ascii="Arial" w:cs="Arial" w:hAnsi="Arial"/>
          <w:sz w:val="22"/>
        </w:rPr>
        <w:t>：战略级，75%投票。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2" w:id="42"/>
      <w:r>
        <w:rPr>
          <w:rFonts w:eastAsia="等线" w:ascii="Arial" w:cs="Arial" w:hAnsi="Arial"/>
          <w:b w:val="true"/>
          <w:sz w:val="32"/>
        </w:rPr>
        <w:t>4.4 宪法法院紧急干预机制</w:t>
      </w:r>
      <w:bookmarkEnd w:id="4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当以下情况发生时，宪法法院可触发</w:t>
      </w:r>
      <w:r>
        <w:rPr>
          <w:rFonts w:eastAsia="等线" w:ascii="Arial" w:cs="Arial" w:hAnsi="Arial"/>
          <w:b w:val="true"/>
          <w:sz w:val="22"/>
        </w:rPr>
        <w:t>紧急干预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汇率模型崩溃</w:t>
      </w:r>
      <w:r>
        <w:rPr>
          <w:rFonts w:eastAsia="等线" w:ascii="Arial" w:cs="Arial" w:hAnsi="Arial"/>
          <w:sz w:val="22"/>
        </w:rPr>
        <w:t>：连续6小时无有效汇率收据提交，或宏观预测R²&lt;0.4。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覆盖率危机</w:t>
      </w:r>
      <w:r>
        <w:rPr>
          <w:rFonts w:eastAsia="等线" w:ascii="Arial" w:cs="Arial" w:hAnsi="Arial"/>
          <w:sz w:val="22"/>
        </w:rPr>
        <w:t>：黄金覆盖率跌破120%且15分钟内未恢复。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交易所重大违约</w:t>
      </w:r>
      <w:r>
        <w:rPr>
          <w:rFonts w:eastAsia="等线" w:ascii="Arial" w:cs="Arial" w:hAnsi="Arial"/>
          <w:sz w:val="22"/>
        </w:rPr>
        <w:t>：单交易所持仓占比超过40%且该所宣布破产。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干预措施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模型回滚</w:t>
      </w:r>
      <w:r>
        <w:rPr>
          <w:rFonts w:eastAsia="等线" w:ascii="Arial" w:cs="Arial" w:hAnsi="Arial"/>
          <w:sz w:val="22"/>
        </w:rPr>
        <w:t>：强制切换至上一稳定版本（需7/9法官签名）。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参数覆盖</w:t>
      </w:r>
      <w:r>
        <w:rPr>
          <w:rFonts w:eastAsia="等线" w:ascii="Arial" w:cs="Arial" w:hAnsi="Arial"/>
          <w:sz w:val="22"/>
        </w:rPr>
        <w:t>：临时调整动态杠杆上限、减仓阈值。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暂停铸造</w:t>
      </w:r>
      <w:r>
        <w:rPr>
          <w:rFonts w:eastAsia="等线" w:ascii="Arial" w:cs="Arial" w:hAnsi="Arial"/>
          <w:sz w:val="22"/>
        </w:rPr>
        <w:t>：最长72小时，需每24小时重新确认。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所有紧急干预必须在</w:t>
      </w:r>
      <w:r>
        <w:rPr>
          <w:rFonts w:eastAsia="等线" w:ascii="Arial" w:cs="Arial" w:hAnsi="Arial"/>
          <w:b w:val="true"/>
          <w:sz w:val="22"/>
        </w:rPr>
        <w:t>1小时内</w:t>
      </w:r>
      <w:r>
        <w:rPr>
          <w:rFonts w:eastAsia="等线" w:ascii="Arial" w:cs="Arial" w:hAnsi="Arial"/>
          <w:sz w:val="22"/>
        </w:rPr>
        <w:t>向社区公告，并在</w:t>
      </w:r>
      <w:r>
        <w:rPr>
          <w:rFonts w:eastAsia="等线" w:ascii="Arial" w:cs="Arial" w:hAnsi="Arial"/>
          <w:b w:val="true"/>
          <w:sz w:val="22"/>
        </w:rPr>
        <w:t>7天内</w:t>
      </w:r>
      <w:r>
        <w:rPr>
          <w:rFonts w:eastAsia="等线" w:ascii="Arial" w:cs="Arial" w:hAnsi="Arial"/>
          <w:sz w:val="22"/>
        </w:rPr>
        <w:t>提交详细事故报告及追认投票。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3" w:id="43"/>
      <w:r>
        <w:rPr>
          <w:rFonts w:eastAsia="等线" w:ascii="Arial" w:cs="Arial" w:hAnsi="Arial"/>
          <w:b w:val="true"/>
          <w:sz w:val="36"/>
        </w:rPr>
        <w:t>5. 实施路线图与关键里程碑</w:t>
      </w:r>
      <w:bookmarkEnd w:id="4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980"/>
        <w:gridCol w:w="1650"/>
        <w:gridCol w:w="2985"/>
        <w:gridCol w:w="1650"/>
      </w:tblGrid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责任方</w:t>
            </w:r>
          </w:p>
        </w:tc>
      </w:tr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0: 宪法预备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XTZH相关宪法条款草案、宪法法院临时法官任命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治理委员会</w:t>
            </w:r>
          </w:p>
        </w:tc>
      </w:tr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1: L0基础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2026.03-05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CSNP V2.0主网部署、预言机节点硬件采购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网络工程组</w:t>
            </w:r>
          </w:p>
        </w:tc>
      </w:tr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2: L1核心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2026.04-07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XTZH系统合约开发、UDM模块审计、NVM指令扩展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核心协议组</w:t>
            </w:r>
          </w:p>
        </w:tc>
      </w:tr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3: AI模型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2026.05-08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模型v1.0训练、ZK电路编译、预言机集群部署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AI实验室</w:t>
            </w:r>
          </w:p>
        </w:tc>
      </w:tr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4: 集成测试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2026.07-09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测试网全流程验证、压力测试、安全审计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QA+安全</w:t>
            </w:r>
          </w:p>
        </w:tc>
      </w:tr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5: 治理投票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2026.09-10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宪法修正案公投、模型升级提案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社区</w:t>
            </w:r>
          </w:p>
        </w:tc>
      </w:tr>
      <w:tr>
        <w:tc>
          <w:tcPr>
            <w:tcW w:w="19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6: 主网激活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2026.10.30</w:t>
            </w:r>
          </w:p>
        </w:tc>
        <w:tc>
          <w:tcPr>
            <w:tcW w:w="29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XTZH主网上线，静态权重回退开关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核心开发组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4" w:id="44"/>
      <w:r>
        <w:rPr>
          <w:rFonts w:eastAsia="等线" w:ascii="Arial" w:cs="Arial" w:hAnsi="Arial"/>
          <w:b w:val="true"/>
          <w:sz w:val="36"/>
        </w:rPr>
        <w:t>6. 结论</w:t>
      </w:r>
      <w:bookmarkEnd w:id="4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XTZH在NAC公链的三层落地，不是简单的智能合约部署，而是**将一套复杂的宏观金融模型与衍生品风控体系，嵌入到区块链的共识、网络、治理的最底层**。</w:t>
      </w:r>
    </w:p>
    <w:p>
      <w:pPr>
        <w:spacing w:before="120" w:after="120" w:line="288" w:lineRule="auto"/>
        <w:ind w:left="0"/>
        <w:jc w:val="left"/>
      </w:pP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</w:t>
      </w:r>
      <w:r>
        <w:rPr>
          <w:rFonts w:eastAsia="等线" w:ascii="Arial" w:cs="Arial" w:hAnsi="Arial"/>
          <w:sz w:val="22"/>
        </w:rPr>
        <w:t xml:space="preserve"> 赋予XTZH**实时、可信、可审计**的通信与计算环境；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</w:t>
      </w:r>
      <w:r>
        <w:rPr>
          <w:rFonts w:eastAsia="等线" w:ascii="Arial" w:cs="Arial" w:hAnsi="Arial"/>
          <w:sz w:val="22"/>
        </w:rPr>
        <w:t xml:space="preserve"> 将AI推理、黄金交易、宪法收据转化为**标准化的链上状态机**；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</w:t>
      </w:r>
      <w:r>
        <w:rPr>
          <w:rFonts w:eastAsia="等线" w:ascii="Arial" w:cs="Arial" w:hAnsi="Arial"/>
          <w:sz w:val="22"/>
        </w:rPr>
        <w:t xml:space="preserve"> 确保XTZH的**价值锚定原则永不妥协**，进化路径民主可控。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这套三层架构使XTZH成为区块链行业首个**从诞生之初就拥有完整宪法保护、可验证计算支撑、动态风控体系**的稳定币。它不是对USDC、DAI的改进，而是一次对“数字价值基准”定义权的根本重构。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 xml:space="preserve">：NAC稳定币工作组 · 核心协议工程组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 xml:space="preserve">：2026年2月13日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 xml:space="preserve">：治理提案待审议  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本白皮书与《XTZH汇率定价AI模型》《黄金永续合约储备法典》《宪法层升级规范》共同构成XTZH技术宪法体系。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673822">
    <w:lvl>
      <w:numFmt w:val="bullet"/>
      <w:suff w:val="tab"/>
      <w:lvlText w:val="•"/>
      <w:rPr>
        <w:color w:val="3370ff"/>
      </w:rPr>
    </w:lvl>
  </w:abstractNum>
  <w:abstractNum w:abstractNumId="2673823">
    <w:lvl>
      <w:numFmt w:val="bullet"/>
      <w:suff w:val="tab"/>
      <w:lvlText w:val="•"/>
      <w:rPr>
        <w:color w:val="3370ff"/>
      </w:rPr>
    </w:lvl>
  </w:abstractNum>
  <w:abstractNum w:abstractNumId="2673824">
    <w:lvl>
      <w:numFmt w:val="bullet"/>
      <w:suff w:val="tab"/>
      <w:lvlText w:val="•"/>
      <w:rPr>
        <w:color w:val="3370ff"/>
      </w:rPr>
    </w:lvl>
  </w:abstractNum>
  <w:abstractNum w:abstractNumId="2673825">
    <w:lvl>
      <w:start w:val="1"/>
      <w:numFmt w:val="decimal"/>
      <w:suff w:val="tab"/>
      <w:lvlText w:val="%1."/>
      <w:rPr>
        <w:color w:val="3370ff"/>
      </w:rPr>
    </w:lvl>
  </w:abstractNum>
  <w:abstractNum w:abstractNumId="2673826">
    <w:lvl>
      <w:start w:val="2"/>
      <w:numFmt w:val="decimal"/>
      <w:suff w:val="tab"/>
      <w:lvlText w:val="%1."/>
      <w:rPr>
        <w:color w:val="3370ff"/>
      </w:rPr>
    </w:lvl>
  </w:abstractNum>
  <w:abstractNum w:abstractNumId="2673827">
    <w:lvl>
      <w:start w:val="3"/>
      <w:numFmt w:val="decimal"/>
      <w:suff w:val="tab"/>
      <w:lvlText w:val="%1."/>
      <w:rPr>
        <w:color w:val="3370ff"/>
      </w:rPr>
    </w:lvl>
  </w:abstractNum>
  <w:abstractNum w:abstractNumId="2673828">
    <w:lvl>
      <w:numFmt w:val="bullet"/>
      <w:suff w:val="tab"/>
      <w:lvlText w:val="•"/>
      <w:rPr>
        <w:color w:val="3370ff"/>
      </w:rPr>
    </w:lvl>
  </w:abstractNum>
  <w:abstractNum w:abstractNumId="2673829">
    <w:lvl>
      <w:numFmt w:val="bullet"/>
      <w:suff w:val="tab"/>
      <w:lvlText w:val="•"/>
      <w:rPr>
        <w:color w:val="3370ff"/>
      </w:rPr>
    </w:lvl>
  </w:abstractNum>
  <w:abstractNum w:abstractNumId="2673830">
    <w:lvl>
      <w:numFmt w:val="bullet"/>
      <w:suff w:val="tab"/>
      <w:lvlText w:val="•"/>
      <w:rPr>
        <w:color w:val="3370ff"/>
      </w:rPr>
    </w:lvl>
  </w:abstractNum>
  <w:abstractNum w:abstractNumId="2673831">
    <w:lvl>
      <w:numFmt w:val="bullet"/>
      <w:suff w:val="tab"/>
      <w:lvlText w:val="•"/>
      <w:rPr>
        <w:color w:val="3370ff"/>
      </w:rPr>
    </w:lvl>
  </w:abstractNum>
  <w:abstractNum w:abstractNumId="2673832">
    <w:lvl>
      <w:numFmt w:val="bullet"/>
      <w:suff w:val="tab"/>
      <w:lvlText w:val="•"/>
      <w:rPr>
        <w:color w:val="3370ff"/>
      </w:rPr>
    </w:lvl>
  </w:abstractNum>
  <w:abstractNum w:abstractNumId="2673833">
    <w:lvl>
      <w:numFmt w:val="bullet"/>
      <w:suff w:val="tab"/>
      <w:lvlText w:val="•"/>
      <w:rPr>
        <w:color w:val="3370ff"/>
      </w:rPr>
    </w:lvl>
  </w:abstractNum>
  <w:abstractNum w:abstractNumId="2673834">
    <w:lvl>
      <w:numFmt w:val="bullet"/>
      <w:suff w:val="tab"/>
      <w:lvlText w:val="•"/>
      <w:rPr>
        <w:color w:val="3370ff"/>
      </w:rPr>
    </w:lvl>
  </w:abstractNum>
  <w:abstractNum w:abstractNumId="2673835">
    <w:lvl>
      <w:numFmt w:val="bullet"/>
      <w:suff w:val="tab"/>
      <w:lvlText w:val="•"/>
      <w:rPr>
        <w:color w:val="3370ff"/>
      </w:rPr>
    </w:lvl>
  </w:abstractNum>
  <w:abstractNum w:abstractNumId="2673836">
    <w:lvl>
      <w:numFmt w:val="bullet"/>
      <w:suff w:val="tab"/>
      <w:lvlText w:val="•"/>
      <w:rPr>
        <w:color w:val="3370ff"/>
      </w:rPr>
    </w:lvl>
  </w:abstractNum>
  <w:abstractNum w:abstractNumId="2673837">
    <w:lvl>
      <w:numFmt w:val="bullet"/>
      <w:suff w:val="tab"/>
      <w:lvlText w:val="•"/>
      <w:rPr>
        <w:color w:val="3370ff"/>
      </w:rPr>
    </w:lvl>
  </w:abstractNum>
  <w:abstractNum w:abstractNumId="2673838">
    <w:lvl>
      <w:numFmt w:val="bullet"/>
      <w:suff w:val="tab"/>
      <w:lvlText w:val="•"/>
      <w:rPr>
        <w:color w:val="3370ff"/>
      </w:rPr>
    </w:lvl>
  </w:abstractNum>
  <w:abstractNum w:abstractNumId="2673839">
    <w:lvl>
      <w:numFmt w:val="bullet"/>
      <w:suff w:val="tab"/>
      <w:lvlText w:val="•"/>
      <w:rPr>
        <w:color w:val="3370ff"/>
      </w:rPr>
    </w:lvl>
  </w:abstractNum>
  <w:abstractNum w:abstractNumId="2673840">
    <w:lvl>
      <w:start w:val="1"/>
      <w:numFmt w:val="decimal"/>
      <w:suff w:val="tab"/>
      <w:lvlText w:val="%1."/>
      <w:rPr>
        <w:color w:val="3370ff"/>
      </w:rPr>
    </w:lvl>
  </w:abstractNum>
  <w:abstractNum w:abstractNumId="2673841">
    <w:lvl>
      <w:start w:val="2"/>
      <w:numFmt w:val="decimal"/>
      <w:suff w:val="tab"/>
      <w:lvlText w:val="%1."/>
      <w:rPr>
        <w:color w:val="3370ff"/>
      </w:rPr>
    </w:lvl>
  </w:abstractNum>
  <w:abstractNum w:abstractNumId="2673842">
    <w:lvl>
      <w:start w:val="3"/>
      <w:numFmt w:val="decimal"/>
      <w:suff w:val="tab"/>
      <w:lvlText w:val="%1."/>
      <w:rPr>
        <w:color w:val="3370ff"/>
      </w:rPr>
    </w:lvl>
  </w:abstractNum>
  <w:abstractNum w:abstractNumId="2673843">
    <w:lvl>
      <w:start w:val="4"/>
      <w:numFmt w:val="decimal"/>
      <w:suff w:val="tab"/>
      <w:lvlText w:val="%1."/>
      <w:rPr>
        <w:color w:val="3370ff"/>
      </w:rPr>
    </w:lvl>
  </w:abstractNum>
  <w:abstractNum w:abstractNumId="2673844">
    <w:lvl>
      <w:start w:val="5"/>
      <w:numFmt w:val="decimal"/>
      <w:suff w:val="tab"/>
      <w:lvlText w:val="%1."/>
      <w:rPr>
        <w:color w:val="3370ff"/>
      </w:rPr>
    </w:lvl>
  </w:abstractNum>
  <w:abstractNum w:abstractNumId="2673845">
    <w:lvl>
      <w:start w:val="6"/>
      <w:numFmt w:val="decimal"/>
      <w:suff w:val="tab"/>
      <w:lvlText w:val="%1."/>
      <w:rPr>
        <w:color w:val="3370ff"/>
      </w:rPr>
    </w:lvl>
  </w:abstractNum>
  <w:abstractNum w:abstractNumId="2673846">
    <w:lvl>
      <w:numFmt w:val="bullet"/>
      <w:suff w:val="tab"/>
      <w:lvlText w:val="•"/>
      <w:rPr>
        <w:color w:val="3370ff"/>
      </w:rPr>
    </w:lvl>
  </w:abstractNum>
  <w:abstractNum w:abstractNumId="2673847">
    <w:lvl>
      <w:numFmt w:val="bullet"/>
      <w:suff w:val="tab"/>
      <w:lvlText w:val="•"/>
      <w:rPr>
        <w:color w:val="3370ff"/>
      </w:rPr>
    </w:lvl>
  </w:abstractNum>
  <w:abstractNum w:abstractNumId="2673848">
    <w:lvl>
      <w:numFmt w:val="bullet"/>
      <w:suff w:val="tab"/>
      <w:lvlText w:val="•"/>
      <w:rPr>
        <w:color w:val="3370ff"/>
      </w:rPr>
    </w:lvl>
  </w:abstractNum>
  <w:abstractNum w:abstractNumId="2673849">
    <w:lvl>
      <w:start w:val="1"/>
      <w:numFmt w:val="decimal"/>
      <w:suff w:val="tab"/>
      <w:lvlText w:val="%1."/>
      <w:rPr>
        <w:color w:val="3370ff"/>
      </w:rPr>
    </w:lvl>
  </w:abstractNum>
  <w:abstractNum w:abstractNumId="2673850">
    <w:lvl>
      <w:start w:val="2"/>
      <w:numFmt w:val="decimal"/>
      <w:suff w:val="tab"/>
      <w:lvlText w:val="%1."/>
      <w:rPr>
        <w:color w:val="3370ff"/>
      </w:rPr>
    </w:lvl>
  </w:abstractNum>
  <w:abstractNum w:abstractNumId="2673851">
    <w:lvl>
      <w:start w:val="3"/>
      <w:numFmt w:val="decimal"/>
      <w:suff w:val="tab"/>
      <w:lvlText w:val="%1."/>
      <w:rPr>
        <w:color w:val="3370ff"/>
      </w:rPr>
    </w:lvl>
  </w:abstractNum>
  <w:abstractNum w:abstractNumId="2673852">
    <w:lvl>
      <w:numFmt w:val="bullet"/>
      <w:suff w:val="tab"/>
      <w:lvlText w:val="•"/>
      <w:rPr>
        <w:color w:val="3370ff"/>
      </w:rPr>
    </w:lvl>
  </w:abstractNum>
  <w:abstractNum w:abstractNumId="2673853">
    <w:lvl>
      <w:numFmt w:val="bullet"/>
      <w:suff w:val="tab"/>
      <w:lvlText w:val="•"/>
      <w:rPr>
        <w:color w:val="3370ff"/>
      </w:rPr>
    </w:lvl>
  </w:abstractNum>
  <w:abstractNum w:abstractNumId="2673854">
    <w:lvl>
      <w:numFmt w:val="bullet"/>
      <w:suff w:val="tab"/>
      <w:lvlText w:val="•"/>
      <w:rPr>
        <w:color w:val="3370ff"/>
      </w:rPr>
    </w:lvl>
  </w:abstractNum>
  <w:abstractNum w:abstractNumId="2673855">
    <w:lvl>
      <w:numFmt w:val="bullet"/>
      <w:suff w:val="tab"/>
      <w:lvlText w:val="•"/>
      <w:rPr>
        <w:color w:val="3370ff"/>
      </w:rPr>
    </w:lvl>
  </w:abstractNum>
  <w:abstractNum w:abstractNumId="2673856">
    <w:lvl>
      <w:numFmt w:val="bullet"/>
      <w:suff w:val="tab"/>
      <w:lvlText w:val="•"/>
      <w:rPr>
        <w:color w:val="3370ff"/>
      </w:rPr>
    </w:lvl>
  </w:abstractNum>
  <w:abstractNum w:abstractNumId="2673857">
    <w:lvl>
      <w:numFmt w:val="bullet"/>
      <w:suff w:val="tab"/>
      <w:lvlText w:val="•"/>
      <w:rPr>
        <w:color w:val="3370ff"/>
      </w:rPr>
    </w:lvl>
  </w:abstractNum>
  <w:num w:numId="1">
    <w:abstractNumId w:val="2673822"/>
  </w:num>
  <w:num w:numId="2">
    <w:abstractNumId w:val="2673823"/>
  </w:num>
  <w:num w:numId="3">
    <w:abstractNumId w:val="2673824"/>
  </w:num>
  <w:num w:numId="4">
    <w:abstractNumId w:val="2673825"/>
  </w:num>
  <w:num w:numId="5">
    <w:abstractNumId w:val="2673826"/>
  </w:num>
  <w:num w:numId="6">
    <w:abstractNumId w:val="2673827"/>
  </w:num>
  <w:num w:numId="7">
    <w:abstractNumId w:val="2673828"/>
  </w:num>
  <w:num w:numId="8">
    <w:abstractNumId w:val="2673829"/>
  </w:num>
  <w:num w:numId="9">
    <w:abstractNumId w:val="2673830"/>
  </w:num>
  <w:num w:numId="10">
    <w:abstractNumId w:val="2673831"/>
  </w:num>
  <w:num w:numId="11">
    <w:abstractNumId w:val="2673832"/>
  </w:num>
  <w:num w:numId="12">
    <w:abstractNumId w:val="2673833"/>
  </w:num>
  <w:num w:numId="13">
    <w:abstractNumId w:val="2673834"/>
  </w:num>
  <w:num w:numId="14">
    <w:abstractNumId w:val="2673835"/>
  </w:num>
  <w:num w:numId="15">
    <w:abstractNumId w:val="2673836"/>
  </w:num>
  <w:num w:numId="16">
    <w:abstractNumId w:val="2673837"/>
  </w:num>
  <w:num w:numId="17">
    <w:abstractNumId w:val="2673838"/>
  </w:num>
  <w:num w:numId="18">
    <w:abstractNumId w:val="2673839"/>
  </w:num>
  <w:num w:numId="19">
    <w:abstractNumId w:val="2673840"/>
  </w:num>
  <w:num w:numId="20">
    <w:abstractNumId w:val="2673841"/>
  </w:num>
  <w:num w:numId="21">
    <w:abstractNumId w:val="2673842"/>
  </w:num>
  <w:num w:numId="22">
    <w:abstractNumId w:val="2673843"/>
  </w:num>
  <w:num w:numId="23">
    <w:abstractNumId w:val="2673844"/>
  </w:num>
  <w:num w:numId="24">
    <w:abstractNumId w:val="2673845"/>
  </w:num>
  <w:num w:numId="25">
    <w:abstractNumId w:val="2673846"/>
  </w:num>
  <w:num w:numId="26">
    <w:abstractNumId w:val="2673847"/>
  </w:num>
  <w:num w:numId="27">
    <w:abstractNumId w:val="2673848"/>
  </w:num>
  <w:num w:numId="28">
    <w:abstractNumId w:val="2673849"/>
  </w:num>
  <w:num w:numId="29">
    <w:abstractNumId w:val="2673850"/>
  </w:num>
  <w:num w:numId="30">
    <w:abstractNumId w:val="2673851"/>
  </w:num>
  <w:num w:numId="31">
    <w:abstractNumId w:val="2673852"/>
  </w:num>
  <w:num w:numId="32">
    <w:abstractNumId w:val="2673853"/>
  </w:num>
  <w:num w:numId="33">
    <w:abstractNumId w:val="2673854"/>
  </w:num>
  <w:num w:numId="34">
    <w:abstractNumId w:val="2673855"/>
  </w:num>
  <w:num w:numId="35">
    <w:abstractNumId w:val="2673856"/>
  </w:num>
  <w:num w:numId="36">
    <w:abstractNumId w:val="267385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2026-02-12T18:57:57Z</dcterms:created>
  <dc:creator>Apache POI</dc:creator>
</cp:coreProperties>
</file>