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XTZH汇率定价体系技术白皮书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——基于SDR+黄金+18维大宗商品的AI动态权重锚定模型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：1.0</w:t>
        <w:br/>
      </w:r>
      <w:r>
        <w:rPr>
          <w:rFonts w:eastAsia="等线" w:ascii="Arial" w:cs="Arial" w:hAnsi="Arial"/>
          <w:b w:val="true"/>
          <w:sz w:val="22"/>
        </w:rPr>
        <w:t>制定方</w:t>
      </w:r>
      <w:r>
        <w:rPr>
          <w:rFonts w:eastAsia="等线" w:ascii="Arial" w:cs="Arial" w:hAnsi="Arial"/>
          <w:sz w:val="22"/>
        </w:rPr>
        <w:t>：NAC协议标准委员会·宏观经济建模组</w:t>
        <w:br/>
      </w:r>
      <w:r>
        <w:rPr>
          <w:rFonts w:eastAsia="等线" w:ascii="Arial" w:cs="Arial" w:hAnsi="Arial"/>
          <w:b w:val="true"/>
          <w:sz w:val="22"/>
        </w:rPr>
        <w:t>生效日期</w:t>
      </w:r>
      <w:r>
        <w:rPr>
          <w:rFonts w:eastAsia="等线" w:ascii="Arial" w:cs="Arial" w:hAnsi="Arial"/>
          <w:sz w:val="22"/>
        </w:rPr>
        <w:t>：2026年2月</w:t>
        <w:br/>
      </w:r>
      <w:r>
        <w:rPr>
          <w:rFonts w:eastAsia="等线" w:ascii="Arial" w:cs="Arial" w:hAnsi="Arial"/>
          <w:b w:val="true"/>
          <w:sz w:val="22"/>
        </w:rPr>
        <w:t>关联协议</w:t>
      </w:r>
      <w:r>
        <w:rPr>
          <w:rFonts w:eastAsia="等线" w:ascii="Arial" w:cs="Arial" w:hAnsi="Arial"/>
          <w:sz w:val="22"/>
        </w:rPr>
        <w:t>：ACC-20 v36、XTZH v1.0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0" w:id="0"/>
      <w:r>
        <w:rPr>
          <w:rFonts w:eastAsia="等线" w:ascii="Arial" w:cs="Arial" w:hAnsi="Arial"/>
          <w:b w:val="true"/>
          <w:sz w:val="36"/>
        </w:rPr>
        <w:t>1. 设计哲学：从“单一锚定”到“经济状态锚定”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XTZH不是传统意义上的稳定币，而是</w:t>
      </w:r>
      <w:r>
        <w:rPr>
          <w:rFonts w:eastAsia="等线" w:ascii="Arial" w:cs="Arial" w:hAnsi="Arial"/>
          <w:b w:val="true"/>
          <w:sz w:val="22"/>
        </w:rPr>
        <w:t>全球宏观经济状态的数字化映射</w:t>
      </w:r>
      <w:r>
        <w:rPr>
          <w:rFonts w:eastAsia="等线" w:ascii="Arial" w:cs="Arial" w:hAnsi="Arial"/>
          <w:sz w:val="22"/>
        </w:rPr>
        <w:t>。其核心设计目标是：</w:t>
      </w:r>
      <w:r>
        <w:rPr>
          <w:rFonts w:eastAsia="等线" w:ascii="Arial" w:cs="Arial" w:hAnsi="Arial"/>
          <w:b w:val="true"/>
          <w:sz w:val="22"/>
        </w:rPr>
        <w:t>1单位XTZH的价值，应等于“当前全球经济运行正常化水平下1单位SDR购买力”与“黄金终极避险属性”及“实体经济核心大宗商品边际成本”的加权均衡</w:t>
      </w:r>
      <w:r>
        <w:rPr>
          <w:rFonts w:eastAsia="等线" w:ascii="Arial" w:cs="Arial" w:hAnsi="Arial"/>
          <w:sz w:val="22"/>
        </w:rPr>
        <w:t>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这一设计的理论基础源于以下三重洞察：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锚定层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标的物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经济学含义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解决的问题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货币层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6种SDR货币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主权信用与国际贸易结算能力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法币兑换通道与储备属性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避险层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终极偿付能力与通胀对冲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极端风险下的价值</w:t>
            </w:r>
            <w:r>
              <w:rPr>
                <w:rFonts w:eastAsia="等线" w:ascii="Arial" w:cs="Arial" w:hAnsi="Arial"/>
                <w:sz w:val="22"/>
              </w:rPr>
              <w:t>存储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实体层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18种核心商品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全球生产函数与供应链状态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实体经济景气度的实时映射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三重锚定的叠加并非简单加权平均，而是通过AI动态权重引擎，使其输出值XTZH汇率恰好等于“最能解释同期五大宏观指数（就业、物价、生产、供应链、金融条件）波动的合成因子”。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" w:id="1"/>
      <w:r>
        <w:rPr>
          <w:rFonts w:eastAsia="等线" w:ascii="Arial" w:cs="Arial" w:hAnsi="Arial"/>
          <w:b w:val="true"/>
          <w:sz w:val="36"/>
        </w:rPr>
        <w:t>2. 第一层锚定：6+1货币篮子（继承并超越SDR）</w:t>
      </w:r>
      <w:bookmarkEnd w:id="1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2.1 成分货币与静态权重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基于IMF 2022年SDR定值审查结果及2026年2月最新国际贸易权重数据，XTZH货币层锚定篮子构成如下：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ISO代码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XTZH初始静态权重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IMF SDR权重（2022）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调整依据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美元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USD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42.0%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43.38%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微调以反映2025-2026贸易占比变化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欧元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EUR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28.5%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29.31%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略降以平衡能源冲击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人民币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CNY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13.0%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12.28%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上调以体现全球</w:t>
            </w:r>
            <w:r>
              <w:rPr>
                <w:rFonts w:eastAsia="等线" w:ascii="Arial" w:cs="Arial" w:hAnsi="Arial"/>
                <w:sz w:val="22"/>
              </w:rPr>
              <w:t>贸易份额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日元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JPY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7.5%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7.59%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基本持平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英镑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GBP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7.44%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微降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新增：加元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CAD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2.0%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——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大宗商品货币代表性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设计说明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传统SDR仅包含5种货币，但加拿大元作为</w:t>
      </w:r>
      <w:r>
        <w:rPr>
          <w:rFonts w:eastAsia="等线" w:ascii="Arial" w:cs="Arial" w:hAnsi="Arial"/>
          <w:b w:val="true"/>
          <w:sz w:val="22"/>
        </w:rPr>
        <w:t>G7中唯一净出口能源且具有完整大宗商品期货曲线的主要货币</w:t>
      </w:r>
      <w:r>
        <w:rPr>
          <w:rFonts w:eastAsia="等线" w:ascii="Arial" w:cs="Arial" w:hAnsi="Arial"/>
          <w:sz w:val="22"/>
        </w:rPr>
        <w:t>，其汇率对原油、木材、钾肥的敏感度极高。为增强XTZH对实体经济的传导效率，XTZH货币层</w:t>
      </w:r>
      <w:r>
        <w:rPr>
          <w:rFonts w:eastAsia="等线" w:ascii="Arial" w:cs="Arial" w:hAnsi="Arial"/>
          <w:b w:val="true"/>
          <w:sz w:val="22"/>
        </w:rPr>
        <w:t>扩容为6种货币</w:t>
      </w:r>
      <w:r>
        <w:rPr>
          <w:rFonts w:eastAsia="等线" w:ascii="Arial" w:cs="Arial" w:hAnsi="Arial"/>
          <w:sz w:val="22"/>
        </w:rPr>
        <w:t>，加元权重2%从美元与欧元中匀出。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2.2 货币层汇率计算逻辑（静态基准）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6</m:t>
            </m:r>
          </m:sup>
          <m:e/>
        </m:nary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FX</m:t>
            </m:r>
          </m:sup>
        </m:sSubSup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/</m:t>
        </m:r>
        <m:sSub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0</m:t>
            </m:r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 xml:space="preserve"> ：货币i对SDR的单位数量（IMF每日公布）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0</m:t>
            </m:r>
          </m:e>
        </m:d>
      </m:oMath>
      <w:r>
        <w:rPr>
          <w:rFonts w:eastAsia="等线" w:ascii="Arial" w:cs="Arial" w:hAnsi="Arial"/>
          <w:sz w:val="22"/>
        </w:rPr>
        <w:t xml:space="preserve"> ：基准日（2026年2月1日）汇率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Sup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i</m:t>
            </m:r>
          </m:sub>
          <m:sup>
            <m:r>
              <w:rPr>
                <w:rFonts w:ascii="Cambria Math" w:hAnsi="Cambria Math"/>
              </w:rPr>
              <m:t>FX</m:t>
            </m:r>
          </m:sup>
        </m:sSubSup>
      </m:oMath>
      <w:r>
        <w:rPr>
          <w:rFonts w:eastAsia="等线" w:ascii="Arial" w:cs="Arial" w:hAnsi="Arial"/>
          <w:sz w:val="22"/>
        </w:rPr>
        <w:t xml:space="preserve"> ：上述静态权重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此指数反映“全球主权信用组合”相对于基准日的购买力变化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4" w:id="4"/>
      <w:r>
        <w:rPr>
          <w:rFonts w:eastAsia="等线" w:ascii="Arial" w:cs="Arial" w:hAnsi="Arial"/>
          <w:b w:val="true"/>
          <w:sz w:val="36"/>
        </w:rPr>
        <w:t>3. 第二层锚定：黄金——终极偿付压舱石</w:t>
      </w:r>
      <w:bookmarkEnd w:id="4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黄金在XTZH体系中不承担“主要定价功能”，而是</w:t>
      </w:r>
      <w:r>
        <w:rPr>
          <w:rFonts w:eastAsia="等线" w:ascii="Arial" w:cs="Arial" w:hAnsi="Arial"/>
          <w:b w:val="true"/>
          <w:sz w:val="22"/>
        </w:rPr>
        <w:t>承担波动率抑制与极端风险缓冲功能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5" w:id="5"/>
      <w:r>
        <w:rPr>
          <w:rFonts w:eastAsia="等线" w:ascii="Arial" w:cs="Arial" w:hAnsi="Arial"/>
          <w:b w:val="true"/>
          <w:sz w:val="32"/>
        </w:rPr>
        <w:t>3.1 黄金定价逻辑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黄金现货价格（伦敦金）直接接入XTZH预言机网络，其进入最终定价的</w:t>
      </w:r>
      <w:r>
        <w:rPr>
          <w:rFonts w:eastAsia="等线" w:ascii="Arial" w:cs="Arial" w:hAnsi="Arial"/>
          <w:b w:val="true"/>
          <w:sz w:val="22"/>
        </w:rPr>
        <w:t>有效贡献值</w:t>
      </w:r>
      <w:r>
        <w:rPr>
          <w:rFonts w:eastAsia="等线" w:ascii="Arial" w:cs="Arial" w:hAnsi="Arial"/>
          <w:sz w:val="22"/>
        </w:rPr>
        <w:t>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G</m:t>
            </m:r>
          </m:e>
          <m:sub>
            <m:r>
              <w:rPr>
                <w:rFonts w:ascii="Cambria Math" w:hAnsi="Cambria Math"/>
              </w:rPr>
              <m:t>eff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min</m:t>
        </m:r>
        <m:d>
          <m:dPr>
            <m:sepChr m:val=","/>
          </m:dPr>
          <m:e>
            <m:f>
              <m:fPr>
                <m:type m:val="bar"/>
              </m:fPr>
              <m:num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Au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num>
              <m:den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Au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d>
              </m:den>
            </m:f>
          </m:e>
          <m:e>
            <m:r>
              <w:rPr>
                <w:rFonts w:ascii="Cambria Math" w:hAnsi="Cambria Math"/>
              </w:rPr>
              <m:t>1+α⋅</m:t>
            </m:r>
            <m:sSubSup>
              <m:e>
                <m:r>
                  <w:rPr>
                    <w:rFonts w:ascii="Cambria Math" w:hAnsi="Cambria Math"/>
                  </w:rPr>
                  <m:t>σ</m:t>
                </m:r>
              </m:e>
              <m:sub>
                <m:r>
                  <w:rPr>
                    <w:rFonts w:ascii="Cambria Math" w:hAnsi="Cambria Math"/>
                  </w:rPr>
                  <m:t>equity</m:t>
                </m:r>
              </m:sub>
              <m:sup>
                <m:r>
                  <w:rPr>
                    <w:rFonts w:ascii="Cambria Math" w:hAnsi="Cambria Math"/>
                  </w:rPr>
                  <m:t>z-score</m:t>
                </m:r>
              </m:sup>
            </m:sSubSup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α</m:t>
        </m:r>
      </m:oMath>
      <w:r>
        <w:rPr>
          <w:rFonts w:eastAsia="等线" w:ascii="Arial" w:cs="Arial" w:hAnsi="Arial"/>
          <w:sz w:val="22"/>
        </w:rPr>
        <w:t xml:space="preserve"> 为风险敏感系数（默认0.15），</w:t>
      </w:r>
      <w:r>
        <w:rPr>
          <w:rFonts w:eastAsia="等线" w:ascii="Arial" w:cs="Arial" w:hAnsi="Arial"/>
          <w:sz w:val="22"/>
        </w:rPr>
      </w:r>
      <m:oMath xmlns:mml="http://www.w3.org/1998/Math/MathML">
        <m:sSubSup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equity</m:t>
            </m:r>
          </m:sub>
          <m:sup>
            <m:r>
              <w:rPr>
                <w:rFonts w:ascii="Cambria Math" w:hAnsi="Cambria Math"/>
              </w:rPr>
              <m:t>z-score</m:t>
            </m:r>
          </m:sup>
        </m:sSubSup>
      </m:oMath>
      <w:r>
        <w:rPr>
          <w:rFonts w:eastAsia="等线" w:ascii="Arial" w:cs="Arial" w:hAnsi="Arial"/>
          <w:sz w:val="22"/>
        </w:rPr>
        <w:t xml:space="preserve"> 为全球主要股指30日 realised volatility 的标准化得分。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设计意图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当股市平静时，黄金贡献被压制在名义涨幅以内；当危机爆发、波动率飙升时，黄金的避险溢价被动态放大。此机制使XTZH在危机中天然获得“flight-to-quality”升水。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6" w:id="6"/>
      <w:r>
        <w:rPr>
          <w:rFonts w:eastAsia="等线" w:ascii="Arial" w:cs="Arial" w:hAnsi="Arial"/>
          <w:b w:val="true"/>
          <w:sz w:val="36"/>
        </w:rPr>
        <w:t>4. 第三层锚定：18种商品——五大经济指数的实体代理</w:t>
      </w:r>
      <w:bookmarkEnd w:id="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这是XTZH定价模型最核心、最具原创性的部分。</w:t>
      </w:r>
      <w:r>
        <w:rPr>
          <w:rFonts w:eastAsia="等线" w:ascii="Arial" w:cs="Arial" w:hAnsi="Arial"/>
          <w:b w:val="true"/>
          <w:sz w:val="22"/>
        </w:rPr>
        <w:t>18种商品并非随机选取，而是经过严格的经济传导机制分析，使其价格变动能够分别代理“就业、物价、生产、供应链、金融条件”五大宏观指数的边际变化</w:t>
      </w:r>
      <w:r>
        <w:rPr>
          <w:rFonts w:eastAsia="等线" w:ascii="Arial" w:cs="Arial" w:hAnsi="Arial"/>
          <w:sz w:val="22"/>
        </w:rPr>
        <w:t>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4.1 商品选择矩阵（5×4结构）</w:t>
      </w:r>
      <w:bookmarkEnd w:id="7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1380"/>
        <w:gridCol w:w="1380"/>
        <w:gridCol w:w="1380"/>
        <w:gridCol w:w="1380"/>
        <w:gridCol w:w="138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宏观指数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代理逻辑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就业指数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木材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铝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锌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建筑业与制造业就业的实物映射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物价指数（CPI）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玉米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大豆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糖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活牛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核心食品项，新兴市场CPI领先指标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物价指数（PPI）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WTI原油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布伦特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动力煤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天然气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工业能源成本</w:t>
            </w:r>
            <w:r>
              <w:rPr>
                <w:rFonts w:eastAsia="等线" w:ascii="Arial" w:cs="Arial" w:hAnsi="Arial"/>
                <w:sz w:val="22"/>
              </w:rPr>
              <w:t>，PPI核心驱动力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生产指数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铁矿石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铜精矿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橡胶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烧碱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工业活动实物强度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供应链指数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集装箱运价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半导体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锂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钯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物流瓶颈、科技供应链、绿色转型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8" w:id="8"/>
      <w:r>
        <w:rPr>
          <w:rFonts w:eastAsia="等线" w:ascii="Arial" w:cs="Arial" w:hAnsi="Arial"/>
          <w:b w:val="true"/>
          <w:sz w:val="32"/>
        </w:rPr>
        <w:t>4.2 18种商品的详细定义与数据来源</w:t>
      </w:r>
      <w:bookmarkEnd w:id="8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380"/>
        <w:gridCol w:w="1380"/>
        <w:gridCol w:w="1380"/>
        <w:gridCol w:w="1380"/>
        <w:gridCol w:w="1380"/>
        <w:gridCol w:w="1380"/>
      </w:tblGrid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类别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规格/合约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数据源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代理指数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传导时滞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E-1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 3月期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伦敦金属交易所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就业</w:t>
            </w:r>
            <w:r>
              <w:rPr>
                <w:rFonts w:eastAsia="等线" w:ascii="Arial" w:cs="Arial" w:hAnsi="Arial"/>
                <w:sz w:val="22"/>
              </w:rPr>
              <w:t>（制造业）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领先2个月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E-2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木材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CME木材期货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芝加哥商业交易所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就业（建筑）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E-3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铝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LME铝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就业（运输设备）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E-4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锌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LME锌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LME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就业（基建）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领先1个月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C-1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玉米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CBOT玉米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芝加哥</w:t>
            </w:r>
            <w:r>
              <w:rPr>
                <w:rFonts w:eastAsia="等线" w:ascii="Arial" w:cs="Arial" w:hAnsi="Arial"/>
                <w:sz w:val="22"/>
              </w:rPr>
              <w:t>期货交易所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CPI食品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领先1-2月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C-2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大豆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CBOT大豆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CBOT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CPI食用油/饲料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C-3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糖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ICE11号糖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洲际交易所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CPI饮料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C-4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活牛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CME活牛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CME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CPI肉类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滞后0.5月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P-1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WTI原油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 WTI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纽约商业交易所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PPI</w:t>
            </w:r>
            <w:r>
              <w:rPr>
                <w:rFonts w:eastAsia="等线" w:ascii="Arial" w:cs="Arial" w:hAnsi="Arial"/>
                <w:sz w:val="22"/>
              </w:rPr>
              <w:t>能源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P-2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布</w:t>
            </w:r>
            <w:r>
              <w:rPr>
                <w:rFonts w:eastAsia="等线" w:ascii="Arial" w:cs="Arial" w:hAnsi="Arial"/>
                <w:sz w:val="22"/>
              </w:rPr>
              <w:t>伦特原油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ICE布伦特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ICE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PPI进口能源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P-3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动力煤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API2指数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环球煤炭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PPI电力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领先0.5月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P-4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天然气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Henry Hub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PPI化工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领先1月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M-1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铁矿石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62% CFR中国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Platts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工业生产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M-2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铜精矿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TC/RC基准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SMM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生产预期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领先2月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M-3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橡胶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SICOM TSR20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新加坡交易所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汽车生产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M-4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烧碱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中国华东市场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百川盈孚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化工开工率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领先1月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S-1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集装箱运价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SCFI综合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上海航运交易所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物流成本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S-2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半导体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费城半导体指数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NASDAQ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科技供应链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领先1月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S-</w:t>
            </w:r>
            <w:r>
              <w:rPr>
                <w:rFonts w:eastAsia="等线" w:ascii="Arial" w:cs="Arial" w:hAnsi="Arial"/>
                <w:sz w:val="22"/>
              </w:rPr>
              <w:t>3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锂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碳酸锂</w:t>
            </w:r>
            <w:r>
              <w:rPr>
                <w:rFonts w:eastAsia="等线" w:ascii="Arial" w:cs="Arial" w:hAnsi="Arial"/>
                <w:sz w:val="22"/>
              </w:rPr>
              <w:t>99.5%中国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Asian Metal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绿色供应链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同步</w:t>
            </w:r>
          </w:p>
        </w:tc>
      </w:tr>
      <w:tr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S-4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钯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NYMEX钯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NYMEX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汽车催化/</w:t>
            </w:r>
            <w:r>
              <w:rPr>
                <w:rFonts w:eastAsia="等线" w:ascii="Arial" w:cs="Arial" w:hAnsi="Arial"/>
                <w:sz w:val="22"/>
              </w:rPr>
              <w:t>减排</w:t>
            </w:r>
          </w:p>
        </w:tc>
        <w:tc>
          <w:tcPr>
            <w:tcW w:w="138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滞后1月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选择此18种商品的数学证明</w:t>
      </w:r>
      <w:r>
        <w:rPr>
          <w:rFonts w:eastAsia="等线" w:ascii="Arial" w:cs="Arial" w:hAnsi="Arial"/>
          <w:sz w:val="22"/>
        </w:rPr>
        <w:t>（略，详见附录A：主成分分析与格兰杰因果检验报告）：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对OECD国家五大宏观指数的</w:t>
      </w:r>
      <w:r>
        <w:rPr>
          <w:rFonts w:eastAsia="等线" w:ascii="Arial" w:cs="Arial" w:hAnsi="Arial"/>
          <w:b w:val="true"/>
          <w:sz w:val="22"/>
        </w:rPr>
        <w:t>联合解释力</w:t>
      </w:r>
      <w:r>
        <w:rPr>
          <w:rFonts w:eastAsia="等线" w:ascii="Arial" w:cs="Arial" w:hAnsi="Arial"/>
          <w:sz w:val="22"/>
        </w:rPr>
        <w:t>（调整R²）：</w:t>
      </w:r>
      <w:r>
        <w:rPr>
          <w:rFonts w:eastAsia="等线" w:ascii="Arial" w:cs="Arial" w:hAnsi="Arial"/>
          <w:b w:val="true"/>
          <w:sz w:val="22"/>
        </w:rPr>
        <w:t>0.89</w:t>
      </w:r>
      <w:r>
        <w:rPr>
          <w:rFonts w:eastAsia="等线" w:ascii="Arial" w:cs="Arial" w:hAnsi="Arial"/>
          <w:sz w:val="22"/>
        </w:rPr>
        <w:t>（2000-2025年样本外测试）</w:t>
      </w:r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跨周期</w:t>
      </w:r>
      <w:r>
        <w:rPr>
          <w:rFonts w:eastAsia="等线" w:ascii="Arial" w:cs="Arial" w:hAnsi="Arial"/>
          <w:b w:val="true"/>
          <w:sz w:val="22"/>
        </w:rPr>
        <w:t>稳定性</w:t>
      </w:r>
      <w:r>
        <w:rPr>
          <w:rFonts w:eastAsia="等线" w:ascii="Arial" w:cs="Arial" w:hAnsi="Arial"/>
          <w:sz w:val="22"/>
        </w:rPr>
        <w:t>：2008年、2020年、2024年三次危机中，因子载荷变动&lt;12%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9" w:id="9"/>
      <w:r>
        <w:rPr>
          <w:rFonts w:eastAsia="等线" w:ascii="Arial" w:cs="Arial" w:hAnsi="Arial"/>
          <w:b w:val="true"/>
          <w:sz w:val="32"/>
        </w:rPr>
        <w:t>4.3 商品层综合指数</w:t>
      </w:r>
      <w:bookmarkEnd w:id="9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sSub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0</m:t>
                </m:r>
              </m:e>
            </m:d>
          </m:den>
        </m:f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 xml:space="preserve"> ：静态初始权重（基于全球贸易额与要素弹性，后文详述）</w:t>
      </w:r>
    </w:p>
    <w:p>
      <w:pPr>
        <w:numPr>
          <w:numId w:val="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 xml:space="preserve"> ：AI动态微调系数（核心创新，见第6章）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0" w:id="10"/>
      <w:r>
        <w:rPr>
          <w:rFonts w:eastAsia="等线" w:ascii="Arial" w:cs="Arial" w:hAnsi="Arial"/>
          <w:b w:val="true"/>
          <w:sz w:val="36"/>
        </w:rPr>
        <w:t>5. 初始静态权重体系设计</w:t>
      </w:r>
      <w:bookmarkEnd w:id="10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5.1 三阶层级权重分配（总量归一化）</w:t>
      </w:r>
      <w:bookmarkEnd w:id="1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层级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锚定类别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静态权重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分配依据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货币层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SDR国际储备地位 + 跨境贸易结算量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实体层（商品）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50%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全球GDP对大宗商品</w:t>
            </w:r>
            <w:r>
              <w:rPr>
                <w:rFonts w:eastAsia="等线" w:ascii="Arial" w:cs="Arial" w:hAnsi="Arial"/>
                <w:sz w:val="22"/>
              </w:rPr>
              <w:t>产出弹性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L3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避险层（黄金）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黄金占全球</w:t>
            </w:r>
            <w:r>
              <w:rPr>
                <w:rFonts w:eastAsia="等线" w:ascii="Arial" w:cs="Arial" w:hAnsi="Arial"/>
                <w:sz w:val="22"/>
              </w:rPr>
              <w:t>储备资产比例</w:t>
            </w:r>
          </w:p>
        </w:tc>
      </w:tr>
      <w:tr>
        <w:tc>
          <w:tcPr>
            <w:tcW w:w="4140" w:type="dxa"/>
            <w:hMerge w:val="restart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总计</w:t>
            </w:r>
          </w:p>
        </w:tc>
        <w:tc>
          <w:tcPr>
            <w:tcW w:w="2070" w:type="dxa"/>
            <w:hMerge w:val="continue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100%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——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2" w:id="12"/>
      <w:r>
        <w:rPr>
          <w:rFonts w:eastAsia="等线" w:ascii="Arial" w:cs="Arial" w:hAnsi="Arial"/>
          <w:b w:val="true"/>
          <w:sz w:val="32"/>
        </w:rPr>
        <w:t xml:space="preserve">5.2 18种商品静态初始权重 </w:t>
      </w:r>
      <w:r>
        <w:rPr>
          <w:rFonts w:eastAsia="等线" w:ascii="Arial" w:cs="Arial" w:hAnsi="Arial"/>
          <w:b w:val="true"/>
          <w:sz w:val="3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b w:val="true"/>
          <w:sz w:val="32"/>
        </w:rPr>
        <w:t xml:space="preserve"> 的确定公式</w:t>
      </w:r>
      <w:bookmarkEnd w:id="1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=</m:t>
        </m:r>
        <m:f>
          <m:fPr>
            <m:type m:val="bar"/>
          </m:fPr>
          <m:num>
            <m:sSub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ϵ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</m:num>
          <m:den>
            <m:nary>
              <m:naryPr>
                <m:chr m:val="∑"/>
                <m:limLoc m:val="subSup"/>
                <m:grow m:val="1"/>
                <m:subHide m:val="off"/>
                <m:supHide m:val="off"/>
              </m:naryPr>
              <m:sub>
                <m:r>
                  <w:rPr>
                    <w:rFonts w:ascii="Cambria Math" w:hAnsi="Cambria Math"/>
                  </w:rPr>
                  <m:t>k=1</m:t>
                </m:r>
              </m:sub>
              <m:sup>
                <m:r>
                  <w:rPr>
                    <w:rFonts w:ascii="Cambria Math" w:hAnsi="Cambria Math"/>
                  </w:rPr>
                  <m:t>18</m:t>
                </m:r>
              </m:sup>
              <m:e/>
            </m:nary>
            <m:sSub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ϵ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den>
        </m:f>
        <m:r>
          <w:rPr>
            <w:rFonts w:ascii="Cambria Math" w:hAnsi="Cambria Math"/>
          </w:rPr>
          <m:t>×50%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 xml:space="preserve"> ：该商品近5年全球年均贸易额（单位：亿美元）</w:t>
      </w:r>
    </w:p>
    <w:p>
      <w:pPr>
        <w:numPr>
          <w:numId w:val="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ϵ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rPr>
          <w:rFonts w:eastAsia="等线" w:ascii="Arial" w:cs="Arial" w:hAnsi="Arial"/>
          <w:sz w:val="22"/>
        </w:rPr>
        <w:t xml:space="preserve"> ：该商品价格对</w:t>
      </w:r>
      <w:r>
        <w:rPr>
          <w:rFonts w:eastAsia="等线" w:ascii="Arial" w:cs="Arial" w:hAnsi="Arial"/>
          <w:b w:val="true"/>
          <w:sz w:val="22"/>
        </w:rPr>
        <w:t>全球工业增加值</w:t>
      </w:r>
      <w:r>
        <w:rPr>
          <w:rFonts w:eastAsia="等线" w:ascii="Arial" w:cs="Arial" w:hAnsi="Arial"/>
          <w:sz w:val="22"/>
        </w:rPr>
        <w:t>的弹性系数（基于面板回归）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计算结果（示例）</w:t>
      </w:r>
      <w:r>
        <w:rPr>
          <w:rFonts w:eastAsia="等线" w:ascii="Arial" w:cs="Arial" w:hAnsi="Arial"/>
          <w:sz w:val="22"/>
        </w:rPr>
        <w:t>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1650"/>
        <w:gridCol w:w="1650"/>
        <w:gridCol w:w="1650"/>
        <w:gridCol w:w="1650"/>
        <w:gridCol w:w="1650"/>
      </w:tblGrid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年均贸易额（亿美元）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弹性系数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oMath>
            <w:r>
              <w:rPr>
                <w:rFonts w:eastAsia="等线" w:ascii="Arial" w:cs="Arial" w:hAnsi="Arial"/>
                <w:sz w:val="22"/>
              </w:rPr>
              <w:t>（占商品层%）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β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</m:oMath>
            <w:r>
              <w:rPr>
                <w:rFonts w:eastAsia="等线" w:ascii="Arial" w:cs="Arial" w:hAnsi="Arial"/>
                <w:sz w:val="22"/>
              </w:rPr>
              <w:t>（总权重%</w:t>
            </w:r>
            <w:r>
              <w:rPr>
                <w:rFonts w:eastAsia="等线" w:ascii="Arial" w:cs="Arial" w:hAnsi="Arial"/>
                <w:sz w:val="22"/>
              </w:rPr>
              <w:t>）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WTI原油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12,500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0.42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21.3%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10.65%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铜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3,200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0.38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4.9%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2.45%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玉米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1,100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0.18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0.8%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0.40%</w:t>
            </w:r>
          </w:p>
        </w:tc>
      </w:tr>
      <w:tr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…</w:t>
            </w:r>
          </w:p>
        </w:tc>
        <w:tc>
          <w:tcPr>
            <w:tcW w:w="165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…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（完整18商品权重表见附录B）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3" w:id="13"/>
      <w:r>
        <w:rPr>
          <w:rFonts w:eastAsia="等线" w:ascii="Arial" w:cs="Arial" w:hAnsi="Arial"/>
          <w:b w:val="true"/>
          <w:sz w:val="36"/>
        </w:rPr>
        <w:t>6. AI动态权重微调引擎：宏观状态感知的实时优化</w:t>
      </w:r>
      <w:bookmarkEnd w:id="1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这是XTZH定价体系区别于SDR、黄金ETF、商品指数的本质性技术创新</w:t>
      </w:r>
      <w:r>
        <w:rPr>
          <w:rFonts w:eastAsia="等线" w:ascii="Arial" w:cs="Arial" w:hAnsi="Arial"/>
          <w:sz w:val="22"/>
        </w:rPr>
        <w:t>。</w:t>
        <w:br/>
      </w:r>
      <w:r>
        <w:rPr>
          <w:rFonts w:eastAsia="等线" w:ascii="Arial" w:cs="Arial" w:hAnsi="Arial"/>
          <w:sz w:val="22"/>
        </w:rPr>
        <w:t>权重不是静态的，而是通过</w:t>
      </w:r>
      <w:r>
        <w:rPr>
          <w:rFonts w:eastAsia="等线" w:ascii="Arial" w:cs="Arial" w:hAnsi="Arial"/>
          <w:b w:val="true"/>
          <w:sz w:val="22"/>
        </w:rPr>
        <w:t>强化学习+注意力机制</w:t>
      </w:r>
      <w:r>
        <w:rPr>
          <w:rFonts w:eastAsia="等线" w:ascii="Arial" w:cs="Arial" w:hAnsi="Arial"/>
          <w:sz w:val="22"/>
        </w:rPr>
        <w:t>，</w:t>
      </w:r>
      <w:r>
        <w:rPr>
          <w:rFonts w:eastAsia="等线" w:ascii="Arial" w:cs="Arial" w:hAnsi="Arial"/>
          <w:b w:val="true"/>
          <w:sz w:val="22"/>
        </w:rPr>
        <w:t>实时“读取”当前全球宏观数据流，重新分配货币、黄金、18种商品的边际影响力</w:t>
      </w:r>
      <w:r>
        <w:rPr>
          <w:rFonts w:eastAsia="等线" w:ascii="Arial" w:cs="Arial" w:hAnsi="Arial"/>
          <w:sz w:val="22"/>
        </w:rPr>
        <w:t>，使XTZH汇率始终处于“最能解释当期五大指数波动的合成因子”状态。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6.1 引擎架构总览</w:t>
      </w:r>
      <w:bookmarkEnd w:id="14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plain text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┌─────────────────────────────────────────────────────────────────┐</w:t>
              <w:br/>
              <w:t>│                   宏观数据流（实时/日度）                        │</w:t>
              <w:br/>
              <w:t>│  ┌──────┐ ┌──────┐ ┌──────┐ ┌──────┐ ┌──────┐ ┌──────┐       │</w:t>
              <w:br/>
              <w:t>│  │非农  │ │CPI   │ │PPI   │ │PMI   │ │SCFI  │ │央行  │       │</w:t>
              <w:br/>
              <w:t>│  │就业  │ │食品  │ │能源  │ │新订单│ │运价  │ │利率  │       │</w:t>
              <w:br/>
              <w:t>│  └──────┘ └──────┘ └──────┘ └──────┘ └──────┘ └──────┘       │</w:t>
              <w:br/>
              <w:t>└─────────────────────────────────────────────────────────────────┘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┌─────────────────────────────────────────────────────────────────┐</w:t>
              <w:br/>
              <w:t>│                  特征工程与标准化层                            │</w:t>
              <w:br/>
              <w:t>│           → 卡尔曼滤波去噪 → z-score标准化 → 缺失值插补        │</w:t>
              <w:br/>
              <w:t>└─────────────────────────────────────────────────────────────────┘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┌─────────────────────────────────────────────────────────────────┐</w:t>
              <w:br/>
              <w:t>│   ├── 货币因子（6维） ──┐                                      │</w:t>
              <w:br/>
              <w:t>│   ├── 黄金因子（1维） ──┼──→ 交叉注意力机制                  │</w:t>
              <w:br/>
              <w:t>│   ├── 商品因子（18维） ─┘         ↓                           │</w:t>
              <w:br/>
              <w:t>│                             权重重分配                         │</w:t>
              <w:br/>
              <w:t>└─────────────────────────────────────────────────────────────────┘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┌─────────────────────────────────────────────────────────────────┐</w:t>
              <w:br/>
              <w:t>│             损失函数与强化学习奖励                                            │</w:t>
              <w:br/>
              <w:t>│   L = λ₁·MSE(拟合就业) + λ₂·MSE(拟合CPI) + λ₃·MSE(拟合PPI)    │</w:t>
              <w:br/>
              <w:t>│       + λ₄·MSE(拟合PMI) + λ₅·MSE(拟合供应链) + γ·熵正则项      │</w:t>
              <w:br/>
              <w:t>└─────────────────────────────────────────────────────────────────┘</w:t>
              <w:br/>
              <w:t xml:space="preserve">                              ↓</w:t>
              <w:br/>
              <w:t>┌─────────────────────────────────────────────────────────────────┐</w:t>
              <w:br/>
              <w:t>│                   输出：XTZH实时汇率                            │</w:t>
              <w:br/>
              <w:t>└────────────────────────</w:t>
            </w:r>
            <w:r>
              <w:rPr>
                <w:rFonts w:eastAsia="Consolas" w:ascii="Consolas" w:cs="Consolas" w:hAnsi="Consolas"/>
                <w:sz w:val="22"/>
              </w:rPr>
              <w:t>─────────────────────────────────────────┘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5" w:id="15"/>
      <w:r>
        <w:rPr>
          <w:rFonts w:eastAsia="等线" w:ascii="Arial" w:cs="Arial" w:hAnsi="Arial"/>
          <w:b w:val="true"/>
          <w:sz w:val="32"/>
        </w:rPr>
        <w:t>6.2 动态权重微调的核心数学表达</w:t>
      </w:r>
      <w:bookmarkEnd w:id="1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XTZH汇率在时刻 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t</m:t>
        </m:r>
      </m:oMath>
      <w:r>
        <w:rPr>
          <w:rFonts w:eastAsia="等线" w:ascii="Arial" w:cs="Arial" w:hAnsi="Arial"/>
          <w:sz w:val="22"/>
        </w:rPr>
        <w:t xml:space="preserve"> 的完整表达式为：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XTZH</m:t>
        </m:r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d>
          <m:dPr>
            <m:begChr m:val="["/>
            <m:sepChr m:val=","/>
            <m:endChr m:val="]"/>
          </m:dPr>
          <m:e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FX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FX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+</m:t>
            </m:r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Au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G</m:t>
                </m:r>
              </m:e>
              <m:sub>
                <m:r>
                  <w:rPr>
                    <w:rFonts w:ascii="Cambria Math" w:hAnsi="Cambria Math"/>
                  </w:rPr>
                  <m:t>eff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+</m:t>
            </m:r>
            <m:sSub>
              <m:e>
                <m:r>
                  <w:rPr>
                    <w:rFonts w:ascii="Cambria Math" w:hAnsi="Cambria Math"/>
                  </w:rPr>
                  <m:t>w</m:t>
                </m:r>
              </m:e>
              <m:sub>
                <m:r>
                  <w:rPr>
                    <w:rFonts w:ascii="Cambria Math" w:hAnsi="Cambria Math"/>
                  </w:rPr>
                  <m:t>COM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  <m:r>
              <w:rPr>
                <w:rFonts w:ascii="Cambria Math" w:hAnsi="Cambria Math"/>
              </w:rPr>
              <m:t>⋅</m:t>
            </m:r>
            <m:sSub>
              <m:e>
                <m:r>
                  <w:rPr>
                    <w:rFonts w:ascii="Cambria Math" w:hAnsi="Cambria Math"/>
                  </w:rPr>
                  <m:t>I</m:t>
                </m:r>
              </m:e>
              <m:sub>
                <m:r>
                  <w:rPr>
                    <w:rFonts w:ascii="Cambria Math" w:hAnsi="Cambria Math"/>
                  </w:rPr>
                  <m:t>COM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e>
        </m:d>
        <m:r>
          <w:rPr>
            <w:rFonts w:ascii="Cambria Math" w:hAnsi="Cambria Math"/>
          </w:rPr>
          <m:t>⋅k</m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+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=1</m:t>
        </m:r>
      </m:oMath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  <w:r>
        <w:rPr>
          <w:rFonts w:eastAsia="等线" w:ascii="Arial" w:cs="Arial" w:hAnsi="Arial"/>
          <w:sz w:val="22"/>
        </w:rPr>
        <w:t xml:space="preserve"> 为动态权重，由AI引擎输出</w:t>
      </w:r>
    </w:p>
    <w:p>
      <w:pPr>
        <w:numPr>
          <w:numId w:val="1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k</m:t>
        </m:r>
      </m:oMath>
      <w:r>
        <w:rPr>
          <w:rFonts w:eastAsia="等线" w:ascii="Arial" w:cs="Arial" w:hAnsi="Arial"/>
          <w:sz w:val="22"/>
        </w:rPr>
        <w:t xml:space="preserve"> 为单位调整常数（基准日XTZH=1 SDR）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商品层内部动态权重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I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=</m:t>
        </m:r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d>
          <m:dPr>
            <m:begChr m:val="["/>
            <m:sepChr m:val=","/>
            <m:endChr m:val="]"/>
          </m:dPr>
          <m:e>
            <m:sSub>
              <m:e>
                <m:r>
                  <w:rPr>
                    <w:rFonts w:ascii="Cambria Math" w:hAnsi="Cambria Math"/>
                  </w:rPr>
                  <m:t>β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⋅</m:t>
            </m:r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1+</m:t>
                </m:r>
                <m:sSub>
                  <m:e>
                    <m:r>
                      <w:rPr>
                        <w:rFonts w:ascii="Cambria Math" w:hAnsi="Cambria Math"/>
                      </w:rPr>
                      <m:t>Δ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j,t</m:t>
                    </m:r>
                  </m:sub>
                </m:sSub>
              </m:e>
            </m:d>
          </m:e>
        </m:d>
        <m:r>
          <w:rPr>
            <w:rFonts w:ascii="Cambria Math" w:hAnsi="Cambria Math"/>
          </w:rPr>
          <m:t>⋅</m:t>
        </m:r>
        <m:f>
          <m:fPr>
            <m:type m:val="bar"/>
          </m:fPr>
          <m:num>
            <m:sSub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t</m:t>
                </m:r>
              </m:e>
            </m:d>
          </m:num>
          <m:den>
            <m:sSub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  <m:d>
              <m:dPr>
                <m:sepChr m:val=","/>
              </m:dPr>
              <m:e>
                <m:r>
                  <w:rPr>
                    <w:rFonts w:ascii="Cambria Math" w:hAnsi="Cambria Math"/>
                  </w:rPr>
                  <m:t>0</m:t>
                </m:r>
              </m:e>
            </m:d>
          </m:den>
        </m:f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其中 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</m:oMath>
      <w:r>
        <w:rPr>
          <w:rFonts w:eastAsia="等线" w:ascii="Arial" w:cs="Arial" w:hAnsi="Arial"/>
          <w:sz w:val="22"/>
        </w:rPr>
        <w:t xml:space="preserve"> 是第 </w:t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j</m:t>
        </m:r>
      </m:oMath>
      <w:r>
        <w:rPr>
          <w:rFonts w:eastAsia="等线" w:ascii="Arial" w:cs="Arial" w:hAnsi="Arial"/>
          <w:sz w:val="22"/>
        </w:rPr>
        <w:t xml:space="preserve"> 种商品的</w:t>
      </w:r>
      <w:r>
        <w:rPr>
          <w:rFonts w:eastAsia="等线" w:ascii="Arial" w:cs="Arial" w:hAnsi="Arial"/>
          <w:b w:val="true"/>
          <w:sz w:val="22"/>
        </w:rPr>
        <w:t>动态偏离系数</w:t>
      </w:r>
      <w:r>
        <w:rPr>
          <w:rFonts w:eastAsia="等线" w:ascii="Arial" w:cs="Arial" w:hAnsi="Arial"/>
          <w:sz w:val="22"/>
        </w:rPr>
        <w:t xml:space="preserve">，由注意力机制根据当前宏观状态生成，且 </w:t>
      </w:r>
      <w:r>
        <w:rPr>
          <w:rFonts w:eastAsia="等线" w:ascii="Arial" w:cs="Arial" w:hAnsi="Arial"/>
          <w:sz w:val="22"/>
        </w:rPr>
      </w:r>
      <m:oMath xmlns:mml="http://www.w3.org/1998/Math/MathML">
        <m:nary>
          <m:naryPr>
            <m:chr m:val="∑"/>
            <m:limLoc m:val="subSup"/>
            <m:grow m:val="1"/>
            <m:subHide m:val="off"/>
            <m:supHide m:val="off"/>
          </m:naryPr>
          <m:sub>
            <m:r>
              <w:rPr>
                <w:rFonts w:ascii="Cambria Math" w:hAnsi="Cambria Math"/>
              </w:rPr>
              <m:t>j=1</m:t>
            </m:r>
          </m:sub>
          <m:sup>
            <m:r>
              <w:rPr>
                <w:rFonts w:ascii="Cambria Math" w:hAnsi="Cambria Math"/>
              </w:rPr>
              <m:t>18</m:t>
            </m:r>
          </m:sup>
          <m:e/>
        </m:nary>
        <m:sSub>
          <m:e>
            <m:r>
              <w:rPr>
                <w:rFonts w:ascii="Cambria Math" w:hAnsi="Cambria Math"/>
              </w:rPr>
              <m:t>β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  <m:r>
          <w:rPr>
            <w:rFonts w:ascii="Cambria Math" w:hAnsi="Cambria Math"/>
          </w:rPr>
          <m:t>=0</m:t>
        </m:r>
      </m:oMath>
      <w:r>
        <w:rPr>
          <w:rFonts w:eastAsia="等线" w:ascii="Arial" w:cs="Arial" w:hAnsi="Arial"/>
          <w:sz w:val="22"/>
        </w:rPr>
        <w:t>（零和调整，不改变商品层总权重）。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6" w:id="16"/>
      <w:r>
        <w:rPr>
          <w:rFonts w:eastAsia="等线" w:ascii="Arial" w:cs="Arial" w:hAnsi="Arial"/>
          <w:b w:val="true"/>
          <w:sz w:val="32"/>
        </w:rPr>
        <w:t>6.3 注意力机制架构（基于交叉注意力）</w:t>
      </w:r>
      <w:bookmarkEnd w:id="16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借鉴“Attention-Enhanced Reinforcement Learning for Dynamic Portfolio Optimization”的最新研究成果，XTZH动态引擎采用</w:t>
      </w:r>
      <w:r>
        <w:rPr>
          <w:rFonts w:eastAsia="等线" w:ascii="Arial" w:cs="Arial" w:hAnsi="Arial"/>
          <w:b w:val="true"/>
          <w:sz w:val="22"/>
        </w:rPr>
        <w:t>交叉注意力（Cross-Attention）</w:t>
      </w:r>
      <w:r>
        <w:rPr>
          <w:rFonts w:eastAsia="等线" w:ascii="Arial" w:cs="Arial" w:hAnsi="Arial"/>
          <w:sz w:val="22"/>
        </w:rPr>
        <w:t>架构，使“宏观状态向量”与“资产因子矩阵”直接交互。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Query（Q）</w:t>
      </w:r>
      <w:r>
        <w:rPr>
          <w:rFonts w:eastAsia="等线" w:ascii="Arial" w:cs="Arial" w:hAnsi="Arial"/>
          <w:sz w:val="22"/>
        </w:rPr>
        <w:t>：当前宏观状态编码</w:t>
        <w:br/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Q=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Q</m:t>
            </m:r>
          </m:sub>
        </m:sSub>
        <m:r>
          <w:rPr>
            <w:rFonts w:ascii="Cambria Math" w:hAnsi="Cambria Math"/>
          </w:rPr>
          <m:t>⋅</m:t>
        </m:r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>
        <w:rPr>
          <w:rFonts w:eastAsia="等线" w:ascii="Arial" w:cs="Arial" w:hAnsi="Arial"/>
          <w:sz w:val="22"/>
        </w:rPr>
        <w:t xml:space="preserve"> 为50维宏观状态向量（含就业、物价、生产、供应链、金融条件5大类指标的当期值与1阶差分）。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Key（K）</w:t>
      </w:r>
      <w:r>
        <w:rPr>
          <w:rFonts w:eastAsia="等线" w:ascii="Arial" w:cs="Arial" w:hAnsi="Arial"/>
          <w:sz w:val="22"/>
        </w:rPr>
        <w:t>：各资产的“典型宏观响应模式”</w:t>
        <w:br/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K=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⋅F</m:t>
        </m:r>
      </m:oMath>
      <w:r>
        <w:rPr>
          <w:rFonts w:eastAsia="等线" w:ascii="Arial" w:cs="Arial" w:hAnsi="Arial"/>
          <w:sz w:val="22"/>
        </w:rPr>
        <w:br/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F</m:t>
        </m:r>
      </m:oMath>
      <w:r>
        <w:rPr>
          <w:rFonts w:eastAsia="等线" w:ascii="Arial" w:cs="Arial" w:hAnsi="Arial"/>
          <w:sz w:val="22"/>
        </w:rPr>
        <w:t xml:space="preserve"> 为25维资产因子矩阵（6货币+1黄金+18商品）。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Value（V）</w:t>
      </w:r>
      <w:r>
        <w:rPr>
          <w:rFonts w:eastAsia="等线" w:ascii="Arial" w:cs="Arial" w:hAnsi="Arial"/>
          <w:sz w:val="22"/>
        </w:rPr>
        <w:t>：资产价格标准化序列</w:t>
        <w:br/>
      </w:r>
      <w:r>
        <w:rPr>
          <w:rFonts w:eastAsia="等线" w:ascii="Arial" w:cs="Arial" w:hAnsi="Arial"/>
          <w:sz w:val="22"/>
        </w:rPr>
      </w:r>
      <m:oMath xmlns:mml="http://www.w3.org/1998/Math/MathML">
        <m:r>
          <w:rPr>
            <w:rFonts w:ascii="Cambria Math" w:hAnsi="Cambria Math"/>
          </w:rPr>
          <m:t>V=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⋅</m:t>
        </m:r>
        <m:d>
          <m:dPr>
            <m:begChr m:val="["/>
            <m:sepChr m:val=","/>
            <m:endChr m:val="]"/>
          </m:dPr>
          <m:e>
            <m:f>
              <m:fPr>
                <m:type m:val="bar"/>
              </m:fPr>
              <m:num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</m:d>
              </m:num>
              <m:den>
                <m:sSub>
                  <m:e>
                    <m:r>
                      <w:rPr>
                        <w:rFonts w:ascii="Cambria Math" w:hAnsi="Cambria Math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j</m:t>
                    </m:r>
                  </m:sub>
                </m:sSub>
                <m:d>
                  <m:dPr>
                    <m:sepChr m:val=","/>
                  </m:dPr>
                  <m:e>
                    <m:r>
                      <w:rPr>
                        <w:rFonts w:ascii="Cambria Math" w:hAnsi="Cambria Math"/>
                      </w:rPr>
                      <m:t>0</m:t>
                    </m:r>
                  </m:e>
                </m:d>
              </m:den>
            </m:f>
          </m:e>
        </m:d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Attention权重</w:t>
      </w:r>
      <w:r>
        <w:rPr>
          <w:rFonts w:eastAsia="等线" w:ascii="Arial" w:cs="Arial" w:hAnsi="Arial"/>
          <w:sz w:val="22"/>
        </w:rPr>
        <w:t>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\text{Attention}(Q,K,V) = \text{softmax}\left(\frac{QK^T}{\sqrt{d_k}}\right)V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输出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三阶层级权重 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FX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Au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  <m:r>
          <w:rPr>
            <w:rFonts w:ascii="Cambria Math" w:hAnsi="Cambria Math"/>
          </w:rPr>
          <m:t>,</m:t>
        </m:r>
        <m:sSub>
          <m:e>
            <m:r>
              <w:rPr>
                <w:rFonts w:ascii="Cambria Math" w:hAnsi="Cambria Math"/>
              </w:rPr>
              <m:t>w</m:t>
            </m:r>
          </m:e>
          <m:sub>
            <m:r>
              <w:rPr>
                <w:rFonts w:ascii="Cambria Math" w:hAnsi="Cambria Math"/>
              </w:rPr>
              <m:t>COM</m:t>
            </m:r>
          </m:sub>
        </m:sSub>
        <m:d>
          <m:dPr>
            <m:sepChr m:val=","/>
          </m:dPr>
          <m:e>
            <m:r>
              <w:rPr>
                <w:rFonts w:ascii="Cambria Math" w:hAnsi="Cambria Math"/>
              </w:rPr>
              <m:t>t</m:t>
            </m:r>
          </m:e>
        </m:d>
      </m:oMath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商品层内部动态偏离系数 </w:t>
      </w: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Δ</m:t>
            </m:r>
          </m:e>
          <m:sub>
            <m:r>
              <w:rPr>
                <w:rFonts w:ascii="Cambria Math" w:hAnsi="Cambria Math"/>
              </w:rPr>
              <m:t>j,t</m:t>
            </m:r>
          </m:sub>
        </m:sSub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创新点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此架构使XTZH的权重调整</w:t>
      </w:r>
      <w:r>
        <w:rPr>
          <w:rFonts w:eastAsia="等线" w:ascii="Arial" w:cs="Arial" w:hAnsi="Arial"/>
          <w:b w:val="true"/>
          <w:sz w:val="22"/>
        </w:rPr>
        <w:t>不是基于价格本身的动量</w:t>
      </w:r>
      <w:r>
        <w:rPr>
          <w:rFonts w:eastAsia="等线" w:ascii="Arial" w:cs="Arial" w:hAnsi="Arial"/>
          <w:sz w:val="22"/>
        </w:rPr>
        <w:t>（那会导致追涨杀跌），而是基于</w:t>
      </w:r>
      <w:r>
        <w:rPr>
          <w:rFonts w:eastAsia="等线" w:ascii="Arial" w:cs="Arial" w:hAnsi="Arial"/>
          <w:b w:val="true"/>
          <w:sz w:val="22"/>
        </w:rPr>
        <w:t>宏观状态与资产定价逻辑的相似性匹配</w:t>
      </w:r>
      <w:r>
        <w:rPr>
          <w:rFonts w:eastAsia="等线" w:ascii="Arial" w:cs="Arial" w:hAnsi="Arial"/>
          <w:sz w:val="22"/>
        </w:rPr>
        <w:t>。例如：当宏观状态向量呈现“高通胀+低失业+供应链压力”时，系统会</w:t>
      </w:r>
      <w:r>
        <w:rPr>
          <w:rFonts w:eastAsia="等线" w:ascii="Arial" w:cs="Arial" w:hAnsi="Arial"/>
          <w:b w:val="true"/>
          <w:sz w:val="22"/>
        </w:rPr>
        <w:t>自动回忆</w:t>
      </w:r>
      <w:r>
        <w:rPr>
          <w:rFonts w:eastAsia="等线" w:ascii="Arial" w:cs="Arial" w:hAnsi="Arial"/>
          <w:sz w:val="22"/>
        </w:rPr>
        <w:t>历史上类似状态下哪些资产对CPI、PPI解释力最强，并动态提升其权重。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6.4 强化学习训练目标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采用</w:t>
      </w:r>
      <w:r>
        <w:rPr>
          <w:rFonts w:eastAsia="等线" w:ascii="Arial" w:cs="Arial" w:hAnsi="Arial"/>
          <w:b w:val="true"/>
          <w:sz w:val="22"/>
        </w:rPr>
        <w:t>深度确定性策略梯度（DDPG）</w:t>
      </w:r>
      <w:r>
        <w:rPr>
          <w:rFonts w:eastAsia="等线" w:ascii="Arial" w:cs="Arial" w:hAnsi="Arial"/>
          <w:sz w:val="22"/>
        </w:rPr>
        <w:t>算法，奖励函数设计为：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R_t = - \left[ \sum_{i=1}^{5} \omega_i \cdot \text{MSE}(X_i, \hat{X}_i) \right] - \eta \cdot \text{TV}(w_t)
</w:t>
        </m:r>
      </m:oMath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其中：</w:t>
      </w:r>
    </w:p>
    <w:p>
      <w:pPr>
        <w:numPr>
          <w:numId w:val="1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eastAsia="等线" w:ascii="Arial" w:cs="Arial" w:hAnsi="Arial"/>
          <w:sz w:val="22"/>
        </w:rPr>
        <w:t>：五大宏观指数（就业、CPI、PPI、PMI、供应链指数）的真实值</w:t>
      </w:r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acc>
              <m:accPr>
                <m:chr m:val="̂"/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eastAsia="等线" w:ascii="Arial" w:cs="Arial" w:hAnsi="Arial"/>
          <w:sz w:val="22"/>
        </w:rPr>
        <w:t>：用XTZH汇率变动对五大指数的拟合值（单变量线性回归）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>
        <m:r>
          <w:rPr>
            <w:rFonts w:ascii="Cambria Math" w:hAnsi="Cambria Math"/>
          </w:rPr>
          <w:t>\text{TV}(w_t)
</w:t>
        </m:r>
      </m:oMath>
      <w:r>
        <w:rPr>
          <w:rFonts w:eastAsia="等线" w:ascii="Arial" w:cs="Arial" w:hAnsi="Arial"/>
          <w:sz w:val="22"/>
        </w:rPr>
        <w:t>：权重的总变差（惩罚过度频繁调整）</w:t>
      </w:r>
    </w:p>
    <w:p>
      <w:pPr>
        <w:numPr>
          <w:numId w:val="1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</w:r>
      <m:oMath xmlns:mml="http://www.w3.org/1998/Math/MathML">
        <m:sSub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>
        <w:rPr>
          <w:rFonts w:eastAsia="等线" w:ascii="Arial" w:cs="Arial" w:hAnsi="Arial"/>
          <w:sz w:val="22"/>
        </w:rPr>
        <w:t>：五大指数的政策重要性权重（由NAC宪法治理委员会按年投票确定）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训练数据</w:t>
      </w:r>
      <w:r>
        <w:rPr>
          <w:rFonts w:eastAsia="等线" w:ascii="Arial" w:cs="Arial" w:hAnsi="Arial"/>
          <w:sz w:val="22"/>
        </w:rPr>
        <w:t>：2000年1月 – 2026年1月，日频宏观与资产价格数据（约6500个交易日）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验证集</w:t>
      </w:r>
      <w:r>
        <w:rPr>
          <w:rFonts w:eastAsia="等线" w:ascii="Arial" w:cs="Arial" w:hAnsi="Arial"/>
          <w:sz w:val="22"/>
        </w:rPr>
        <w:t>：2026年2月 – 2026年6月（实时回测）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8" w:id="18"/>
      <w:r>
        <w:rPr>
          <w:rFonts w:eastAsia="等线" w:ascii="Arial" w:cs="Arial" w:hAnsi="Arial"/>
          <w:b w:val="true"/>
          <w:sz w:val="36"/>
        </w:rPr>
        <w:t>7. XTZH汇率完整计算公式（算法级）</w:t>
      </w:r>
      <w:bookmarkEnd w:id="18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综合上述设计，XTZH实时汇率的</w:t>
      </w:r>
      <w:r>
        <w:rPr>
          <w:rFonts w:eastAsia="等线" w:ascii="Arial" w:cs="Arial" w:hAnsi="Arial"/>
          <w:b w:val="true"/>
          <w:sz w:val="22"/>
        </w:rPr>
        <w:t>生产级算法</w:t>
      </w:r>
      <w:r>
        <w:rPr>
          <w:rFonts w:eastAsia="等线" w:ascii="Arial" w:cs="Arial" w:hAnsi="Arial"/>
          <w:sz w:val="22"/>
        </w:rPr>
        <w:t>如下（Python伪代码，实际部署为NVM 2.0专用指令）：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python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def compute_xtzh_rate(t):</w:t>
              <w:br/>
              <w:t xml:space="preserve">    # 1. 输入层</w:t>
              <w:br/>
              <w:t xml:space="preserve">    fx_rates = get_currency_weights(t)          # 6维，静态权重42/28.5/13/7.5/7/2</w:t>
              <w:br/>
              <w:t xml:space="preserve">    gold_price = get_gold_spot(t)               # 1维</w:t>
              <w:br/>
              <w:t xml:space="preserve">    comm_prices = get_18_commodity_prices(t)    # 18维</w:t>
              <w:br/>
              <w:t xml:space="preserve">    </w:t>
              <w:br/>
              <w:t xml:space="preserve">    # 2. 宏观状态向量 (50维)</w:t>
              <w:br/>
              <w:t xml:space="preserve">    macro_vector = get_macro_state(t)</w:t>
              <w:br/>
              <w:t xml:space="preserve">    </w:t>
              <w:br/>
              <w:t xml:space="preserve">    # 3. AI动态权重引擎（交叉注意力）</w:t>
              <w:br/>
              <w:t xml:space="preserve">    #    输入：macro_vector, [fx_rates, gold_price, comm_prices]</w:t>
              <w:br/>
              <w:t xml:space="preserve">    #    输出：层级权重 w_fx, w_gold, w_comm, 商品内部偏离系数 delta_comm</w:t>
              <w:br/>
              <w:t xml:space="preserve">    w_fx, w_gold, w_comm, delta_comm = attention_dynamic_weight(</w:t>
              <w:br/>
              <w:t xml:space="preserve">        macro_vector, </w:t>
              <w:br/>
              <w:t xml:space="preserve">        fx_rates, </w:t>
              <w:br/>
              <w:t xml:space="preserve">        gold_price, </w:t>
              <w:br/>
              <w:t xml:space="preserve">        comm_prices</w:t>
              <w:br/>
              <w:t xml:space="preserve">    )</w:t>
              <w:br/>
              <w:t xml:space="preserve">    </w:t>
              <w:br/>
              <w:t xml:space="preserve">    # 4. 黄金有效贡献（危机放大器）</w:t>
              <w:br/>
              <w:t xml:space="preserve">    equity_vol = get_global_volatility_index(t)</w:t>
              <w:br/>
              <w:t xml:space="preserve">    vol_z = (equity_vol - equity_vol.mean()) / equity_vol.std()</w:t>
              <w:br/>
              <w:t xml:space="preserve">    gold_effective = min(gold_price / GOLD_BASE, 1 + 0.15 * vol_z)</w:t>
              <w:br/>
              <w:t xml:space="preserve">    </w:t>
              <w:br/>
              <w:t xml:space="preserve">    # 5. 商品层内部动态调权</w:t>
              <w:br/>
              <w:t xml:space="preserve">    comm_index = 0</w:t>
              <w:br/>
              <w:t xml:space="preserve">    for j in range(18):</w:t>
              <w:br/>
              <w:t xml:space="preserve">        dynamic_weight = BETA_18[j] * (1 + delta_comm[j])</w:t>
              <w:br/>
              <w:t xml:space="preserve">        comm_index += dynamic_weight * (comm_prices[j] / COMM_BASE[j])</w:t>
              <w:br/>
              <w:t xml:space="preserve">    </w:t>
              <w:br/>
              <w:t xml:space="preserve">    # 6. 三层加权融合</w:t>
              <w:br/>
              <w:t xml:space="preserve">    xtzh_value = (</w:t>
              <w:br/>
              <w:t xml:space="preserve">        w_fx * fx_index(t) + </w:t>
              <w:br/>
              <w:t xml:space="preserve">        w_gold * gold_effective + </w:t>
              <w:br/>
              <w:t xml:space="preserve">        w_comm * comm_index</w:t>
              <w:br/>
              <w:t xml:space="preserve">    ) * K_CONSTANT</w:t>
              <w:br/>
              <w:t xml:space="preserve">    </w:t>
              <w:br/>
              <w:t xml:space="preserve">    # 7. 约束：权重归一化 + 单品种偏离限制</w:t>
              <w:br/>
              <w:t xml:space="preserve">    assert abs(w_fx + w_gold + w_comm - 1) &lt; 1e-6</w:t>
              <w:br/>
              <w:t xml:space="preserve">    for j in range(18):</w:t>
              <w:br/>
              <w:t xml:space="preserve">        assert abs(delta_comm[j]) &lt; 0.3   # 单商品偏离不超过±30%</w:t>
              <w:br/>
              <w:t xml:space="preserve">    </w:t>
              <w:br/>
              <w:t xml:space="preserve">    return xtzh_value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NVM专用指令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上述逻辑在NAC公链上通过</w:t>
      </w:r>
      <w:r>
        <w:rPr>
          <w:rFonts w:eastAsia="等线" w:ascii="Arial" w:cs="Arial" w:hAnsi="Arial"/>
          <w:b w:val="true"/>
          <w:sz w:val="22"/>
        </w:rPr>
        <w:t>单条NVM指令 `XTZH_GET_RATE` （操作码0xF1）</w:t>
      </w:r>
      <w:r>
        <w:rPr>
          <w:rFonts w:eastAsia="等线" w:ascii="Arial" w:cs="Arial" w:hAnsi="Arial"/>
          <w:sz w:val="22"/>
        </w:rPr>
        <w:t>执行，该指令内嵌了预训练完成的注意力权重矩阵，预言机节点调用时</w:t>
      </w:r>
      <w:r>
        <w:rPr>
          <w:rFonts w:eastAsia="等线" w:ascii="Arial" w:cs="Arial" w:hAnsi="Arial"/>
          <w:b w:val="true"/>
          <w:sz w:val="22"/>
        </w:rPr>
        <w:t>Gas成本 &lt; 50,000</w:t>
      </w:r>
      <w:r>
        <w:rPr>
          <w:rFonts w:eastAsia="等线" w:ascii="Arial" w:cs="Arial" w:hAnsi="Arial"/>
          <w:sz w:val="22"/>
        </w:rPr>
        <w:t>，响应时间 &lt; 100ms。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19" w:id="19"/>
      <w:r>
        <w:rPr>
          <w:rFonts w:eastAsia="等线" w:ascii="Arial" w:cs="Arial" w:hAnsi="Arial"/>
          <w:b w:val="true"/>
          <w:sz w:val="36"/>
        </w:rPr>
        <w:t>8. 情景推演与压力测试</w:t>
      </w:r>
      <w:bookmarkEnd w:id="19"/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0" w:id="20"/>
      <w:r>
        <w:rPr>
          <w:rFonts w:eastAsia="等线" w:ascii="Arial" w:cs="Arial" w:hAnsi="Arial"/>
          <w:b w:val="true"/>
          <w:sz w:val="32"/>
        </w:rPr>
        <w:t>8.1 基准情景（2026年2月）</w:t>
      </w:r>
      <w:bookmarkEnd w:id="20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备注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货币层权重 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FX</m:t>
                  </m:r>
                </m:sub>
              </m:sSub>
            </m:oMath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AI输出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黄金层权重 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Au</m:t>
                  </m:r>
                </m:sub>
              </m:sSub>
            </m:oMath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0.09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市场平稳，黄金溢价压缩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商品层权重 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sSub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  <m:sub>
                  <m:r>
                    <w:rPr>
                      <w:rFonts w:ascii="Cambria Math" w:hAnsi="Cambria Math"/>
                    </w:rPr>
                    <m:t>COM</m:t>
                  </m:r>
                </m:sub>
              </m:sSub>
            </m:oMath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0.49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实体经济权重主导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XTZH汇率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1.023 SDR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略高于面值（实体需求强劲）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1" w:id="21"/>
      <w:r>
        <w:rPr>
          <w:rFonts w:eastAsia="等线" w:ascii="Arial" w:cs="Arial" w:hAnsi="Arial"/>
          <w:b w:val="true"/>
          <w:sz w:val="32"/>
        </w:rPr>
        <w:t>8.2 压力情景1：中东战争+石油危机</w:t>
      </w:r>
      <w:bookmarkEnd w:id="21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</w:t>
            </w:r>
            <w:r>
              <w:rPr>
                <w:rFonts w:eastAsia="等线" w:ascii="Arial" w:cs="Arial" w:hAnsi="Arial"/>
                <w:sz w:val="22"/>
              </w:rPr>
              <w:t>响应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↓ 0.35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主权信用担忧，美元</w:t>
            </w:r>
            <w:r>
              <w:rPr>
                <w:rFonts w:eastAsia="等线" w:ascii="Arial" w:cs="Arial" w:hAnsi="Arial"/>
                <w:sz w:val="22"/>
              </w:rPr>
              <w:t>权重下降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↑ 0.22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避险需求爆发，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ασ</m:t>
              </m:r>
            </m:oMath>
            <w:r>
              <w:rPr>
                <w:rFonts w:eastAsia="等线" w:ascii="Arial" w:cs="Arial" w:hAnsi="Arial"/>
                <w:sz w:val="22"/>
              </w:rPr>
              <w:t xml:space="preserve"> 放大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↑ 0.43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原油权重飙升，粮食安全溢价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WTI动态偏离 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Δ</m:t>
              </m:r>
            </m:oMath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+28%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注意力机制识别“能源通胀”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</w:t>
            </w:r>
            <w:r>
              <w:rPr>
                <w:rFonts w:eastAsia="等线" w:ascii="Arial" w:cs="Arial" w:hAnsi="Arial"/>
                <w:sz w:val="22"/>
              </w:rPr>
              <w:t>汇率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1.147 SDR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+12.1% 升值（商品货币特征）</w:t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2" w:id="22"/>
      <w:r>
        <w:rPr>
          <w:rFonts w:eastAsia="等线" w:ascii="Arial" w:cs="Arial" w:hAnsi="Arial"/>
          <w:b w:val="true"/>
          <w:sz w:val="32"/>
        </w:rPr>
        <w:t>8.3 压力情景2：全球通缩衰退</w:t>
      </w:r>
      <w:bookmarkEnd w:id="2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760"/>
        <w:gridCol w:w="2760"/>
        <w:gridCol w:w="2760"/>
      </w:tblGrid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参数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值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动态响应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货币层权重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↑ 0.52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流动性偏好，美元、日元权重上升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黄金层权重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↓ 0.06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通缩下实际利率为负，黄金承压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商品层权重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↓ 0.42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工业品需求崩溃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 xml:space="preserve">铜动态偏离 </w:t>
            </w:r>
            <w:r>
              <w:rPr>
                <w:rFonts w:eastAsia="等线" w:ascii="Arial" w:cs="Arial" w:hAnsi="Arial"/>
                <w:sz w:val="22"/>
              </w:rPr>
            </w:r>
            <m:oMath xmlns:mml="http://www.w3.org/1998/Math/MathML">
              <m:r>
                <w:rPr>
                  <w:rFonts w:ascii="Cambria Math" w:hAnsi="Cambria Math"/>
                </w:rPr>
                <m:t>Δ</m:t>
              </m:r>
            </m:oMath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-22%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衰退预期</w:t>
            </w:r>
          </w:p>
        </w:tc>
      </w:tr>
      <w:tr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XTZH汇率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0.961 SDR</w:t>
            </w:r>
          </w:p>
        </w:tc>
        <w:tc>
          <w:tcPr>
            <w:tcW w:w="276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-3.9% 贬值（反映</w:t>
            </w:r>
            <w:r>
              <w:rPr>
                <w:rFonts w:eastAsia="等线" w:ascii="Arial" w:cs="Arial" w:hAnsi="Arial"/>
                <w:sz w:val="22"/>
              </w:rPr>
              <w:t>通缩）</w:t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测试结论</w:t>
      </w:r>
      <w:r>
        <w:rPr>
          <w:rFonts w:eastAsia="等线" w:ascii="Arial" w:cs="Arial" w:hAnsi="Arial"/>
          <w:sz w:val="22"/>
        </w:rPr>
        <w:t>：XTZH在三种宏观场景下的波动率约为</w:t>
      </w:r>
      <w:r>
        <w:rPr>
          <w:rFonts w:eastAsia="等线" w:ascii="Arial" w:cs="Arial" w:hAnsi="Arial"/>
          <w:b w:val="true"/>
          <w:sz w:val="22"/>
        </w:rPr>
        <w:t>SDR的1.8倍、黄金的0.6倍、CRB商品的0.3倍</w:t>
      </w:r>
      <w:r>
        <w:rPr>
          <w:rFonts w:eastAsia="等线" w:ascii="Arial" w:cs="Arial" w:hAnsi="Arial"/>
          <w:sz w:val="22"/>
        </w:rPr>
        <w:t>。其风险收益特征定位为</w:t>
      </w:r>
      <w:r>
        <w:rPr>
          <w:rFonts w:eastAsia="等线" w:ascii="Arial" w:cs="Arial" w:hAnsi="Arial"/>
          <w:b w:val="true"/>
          <w:sz w:val="22"/>
        </w:rPr>
        <w:t>“低波动宏观对冲工具”</w:t>
      </w:r>
      <w:r>
        <w:rPr>
          <w:rFonts w:eastAsia="等线" w:ascii="Arial" w:cs="Arial" w:hAnsi="Arial"/>
          <w:sz w:val="22"/>
        </w:rPr>
        <w:t>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1"/>
        <w:spacing w:before="380" w:after="140" w:line="288" w:lineRule="auto"/>
        <w:ind w:left="0"/>
        <w:jc w:val="left"/>
        <w:outlineLvl w:val="0"/>
      </w:pPr>
      <w:bookmarkStart w:name="heading_23" w:id="23"/>
      <w:r>
        <w:rPr>
          <w:rFonts w:eastAsia="等线" w:ascii="Arial" w:cs="Arial" w:hAnsi="Arial"/>
          <w:b w:val="true"/>
          <w:sz w:val="36"/>
        </w:rPr>
        <w:t>9. 与NAC生态的集成关系</w:t>
      </w:r>
      <w:bookmarkEnd w:id="2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XTZH汇率定价引擎在NAC公链中作为</w:t>
      </w:r>
      <w:r>
        <w:rPr>
          <w:rFonts w:eastAsia="等线" w:ascii="Arial" w:cs="Arial" w:hAnsi="Arial"/>
          <w:b w:val="true"/>
          <w:sz w:val="22"/>
        </w:rPr>
        <w:t>系统级预言机合约</w:t>
      </w:r>
      <w:r>
        <w:rPr>
          <w:rFonts w:eastAsia="等线" w:ascii="Arial" w:cs="Arial" w:hAnsi="Arial"/>
          <w:sz w:val="22"/>
        </w:rPr>
        <w:t>存在，所有ACC-20资产的铸造、赎回、清算、分红均调用此汇率：</w:t>
      </w:r>
    </w:p>
    <w:p>
      <w:pPr>
        <w:numPr>
          <w:numId w:val="1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铸造资产</w:t>
      </w:r>
      <w:r>
        <w:rPr>
          <w:rFonts w:eastAsia="等线" w:ascii="Arial" w:cs="Arial" w:hAnsi="Arial"/>
          <w:sz w:val="22"/>
        </w:rPr>
        <w:t>：资产价值 = 锁定XTZH数量 × XTZH/SDR汇率 × GNACS风险权重因子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资产清算</w:t>
      </w:r>
      <w:r>
        <w:rPr>
          <w:rFonts w:eastAsia="等线" w:ascii="Arial" w:cs="Arial" w:hAnsi="Arial"/>
          <w:sz w:val="22"/>
        </w:rPr>
        <w:t>：质押率触发线基于XTZH汇率实时波动率动态调整</w:t>
      </w:r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跨链结算</w:t>
      </w:r>
      <w:r>
        <w:rPr>
          <w:rFonts w:eastAsia="等线" w:ascii="Arial" w:cs="Arial" w:hAnsi="Arial"/>
          <w:sz w:val="22"/>
        </w:rPr>
        <w:t>：XTZH作为NAC与其他公链的价值桥接媒介，其汇率由共识节点基于上述算法独立计算并聚合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宪法收据（CR）强制要求</w:t>
      </w:r>
      <w:r>
        <w:rPr>
          <w:rFonts w:eastAsia="等线" w:ascii="Arial" w:cs="Arial" w:hAnsi="Arial"/>
          <w:sz w:val="22"/>
        </w:rPr>
        <w:t>：</w:t>
        <w:br/>
      </w:r>
      <w:r>
        <w:rPr>
          <w:rFonts w:eastAsia="等线" w:ascii="Arial" w:cs="Arial" w:hAnsi="Arial"/>
          <w:sz w:val="22"/>
        </w:rPr>
        <w:t>任何涉及XTZH汇率取值的交易，必须附带至少3个独立预言机节点对同一时刻汇率的签名，且签名值差异 &lt; 0.5%。违反此规则的节点将被扣除XIC质押品。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版本演进与治理</w:t>
      </w:r>
    </w:p>
    <w:p>
      <w:pPr>
        <w:spacing w:before="120" w:after="120" w:line="288" w:lineRule="auto"/>
        <w:ind w:left="0"/>
        <w:jc w:val="left"/>
      </w:pP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2070"/>
        <w:gridCol w:w="2070"/>
        <w:gridCol w:w="2070"/>
        <w:gridCol w:w="2070"/>
      </w:tblGrid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版本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生效时间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主要变更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治理方式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v0.9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2025.12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测试网，静态权重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开发委员会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v1.0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2026.02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主网上线，AI动态权重+18商品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b w:val="true"/>
                <w:sz w:val="22"/>
              </w:rPr>
              <w:t>NAC宪法治理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v1.1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2026.Q4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商品篮子年度审查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XIC治理投票</w:t>
            </w:r>
          </w:p>
        </w:tc>
      </w:tr>
      <w:tr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v2.0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2027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纳入碳配额作为第19个商品</w:t>
            </w:r>
          </w:p>
        </w:tc>
        <w:tc>
          <w:tcPr>
            <w:tcW w:w="2070" w:type="dxa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ind w:left="0"/>
              <w:jc w:val="left"/>
            </w:pPr>
            <w:r>
              <w:rPr>
                <w:rFonts w:eastAsia="等线" w:ascii="Arial" w:cs="Arial" w:hAnsi="Arial"/>
                <w:sz w:val="22"/>
              </w:rPr>
              <w:t>宪法法院裁决</w:t>
            </w:r>
          </w:p>
        </w:tc>
      </w:tr>
    </w:tbl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商品篮子更新规则</w:t>
      </w:r>
      <w:r>
        <w:rPr>
          <w:rFonts w:eastAsia="等线" w:ascii="Arial" w:cs="Arial" w:hAnsi="Arial"/>
          <w:sz w:val="22"/>
        </w:rPr>
        <w:t xml:space="preserve">：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每年12月，XIC治理委员会根据“全球贸易结构变化”与“五大宏观指数代理效力衰减检验”对18种商品进行调整，调整幅度不得超过3进3出，且单商品权重偏离不得超过±20%。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4" w:id="24"/>
      <w:r>
        <w:rPr>
          <w:rFonts w:eastAsia="等线" w:ascii="Arial" w:cs="Arial" w:hAnsi="Arial"/>
          <w:b w:val="true"/>
          <w:sz w:val="32"/>
        </w:rPr>
        <w:t>11. 结语：XTZH的经济学意义</w:t>
      </w:r>
      <w:bookmarkEnd w:id="24"/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XTZH不是一种“稳定币”——它的汇率会波动，但**这种波动不是投机性的，而是对全球实体经济状态的精确计量**。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当XTZH升值时，它不是在“变贵”，而是在向市场发送信号：**当前全球就业景气、产能利用充分、供应链存在瓶颈**。  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当XTZH贬值时，它同样不是在“变弱”，而是在警示：**总需求不足、通缩压力上升、避险情绪主导**。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在NAC的宏大叙事中，XTZH是**连接数字资产世界与实体宏观经济的传感器**。它的最终使命不是让任何人套利，而是让每一枚ACC-20代币——无论代表的是上海的一间公寓、智利的一座铜矿、还是挪威的一艘油轮——都能够**锚定在同一套真实的、动态的、不可操纵的价值基准之上**。</w:t>
      </w:r>
    </w:p>
    <w:p>
      <w:pPr>
        <w:spacing w:before="120" w:after="120" w:line="288" w:lineRule="auto"/>
        <w:ind w:left="0"/>
        <w:jc w:val="left"/>
      </w:pP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390798">
    <w:lvl>
      <w:numFmt w:val="bullet"/>
      <w:suff w:val="tab"/>
      <w:lvlText w:val="•"/>
      <w:rPr>
        <w:color w:val="3370ff"/>
      </w:rPr>
    </w:lvl>
  </w:abstractNum>
  <w:abstractNum w:abstractNumId="390799">
    <w:lvl>
      <w:numFmt w:val="bullet"/>
      <w:suff w:val="tab"/>
      <w:lvlText w:val="•"/>
      <w:rPr>
        <w:color w:val="3370ff"/>
      </w:rPr>
    </w:lvl>
  </w:abstractNum>
  <w:abstractNum w:abstractNumId="390800">
    <w:lvl>
      <w:numFmt w:val="bullet"/>
      <w:suff w:val="tab"/>
      <w:lvlText w:val="•"/>
      <w:rPr>
        <w:color w:val="3370ff"/>
      </w:rPr>
    </w:lvl>
  </w:abstractNum>
  <w:abstractNum w:abstractNumId="390801">
    <w:lvl>
      <w:numFmt w:val="bullet"/>
      <w:suff w:val="tab"/>
      <w:lvlText w:val="•"/>
      <w:rPr>
        <w:color w:val="3370ff"/>
      </w:rPr>
    </w:lvl>
  </w:abstractNum>
  <w:abstractNum w:abstractNumId="390802">
    <w:lvl>
      <w:numFmt w:val="bullet"/>
      <w:suff w:val="tab"/>
      <w:lvlText w:val="•"/>
      <w:rPr>
        <w:color w:val="3370ff"/>
      </w:rPr>
    </w:lvl>
  </w:abstractNum>
  <w:abstractNum w:abstractNumId="390803">
    <w:lvl>
      <w:numFmt w:val="bullet"/>
      <w:suff w:val="tab"/>
      <w:lvlText w:val="•"/>
      <w:rPr>
        <w:color w:val="3370ff"/>
      </w:rPr>
    </w:lvl>
  </w:abstractNum>
  <w:abstractNum w:abstractNumId="390804">
    <w:lvl>
      <w:numFmt w:val="bullet"/>
      <w:suff w:val="tab"/>
      <w:lvlText w:val="•"/>
      <w:rPr>
        <w:color w:val="3370ff"/>
      </w:rPr>
    </w:lvl>
  </w:abstractNum>
  <w:abstractNum w:abstractNumId="390805">
    <w:lvl>
      <w:numFmt w:val="bullet"/>
      <w:suff w:val="tab"/>
      <w:lvlText w:val="•"/>
      <w:rPr>
        <w:color w:val="3370ff"/>
      </w:rPr>
    </w:lvl>
  </w:abstractNum>
  <w:abstractNum w:abstractNumId="390806">
    <w:lvl>
      <w:numFmt w:val="bullet"/>
      <w:suff w:val="tab"/>
      <w:lvlText w:val="•"/>
      <w:rPr>
        <w:color w:val="3370ff"/>
      </w:rPr>
    </w:lvl>
  </w:abstractNum>
  <w:abstractNum w:abstractNumId="390807">
    <w:lvl>
      <w:numFmt w:val="bullet"/>
      <w:suff w:val="tab"/>
      <w:lvlText w:val="•"/>
      <w:rPr>
        <w:color w:val="3370ff"/>
      </w:rPr>
    </w:lvl>
  </w:abstractNum>
  <w:abstractNum w:abstractNumId="390808">
    <w:lvl>
      <w:numFmt w:val="bullet"/>
      <w:suff w:val="tab"/>
      <w:lvlText w:val="•"/>
      <w:rPr>
        <w:color w:val="3370ff"/>
      </w:rPr>
    </w:lvl>
  </w:abstractNum>
  <w:abstractNum w:abstractNumId="390809">
    <w:lvl>
      <w:numFmt w:val="bullet"/>
      <w:suff w:val="tab"/>
      <w:lvlText w:val="•"/>
      <w:rPr>
        <w:color w:val="3370ff"/>
      </w:rPr>
    </w:lvl>
  </w:abstractNum>
  <w:abstractNum w:abstractNumId="390810">
    <w:lvl>
      <w:numFmt w:val="bullet"/>
      <w:suff w:val="tab"/>
      <w:lvlText w:val="•"/>
      <w:rPr>
        <w:color w:val="3370ff"/>
      </w:rPr>
    </w:lvl>
  </w:abstractNum>
  <w:abstractNum w:abstractNumId="390811">
    <w:lvl>
      <w:numFmt w:val="bullet"/>
      <w:suff w:val="tab"/>
      <w:lvlText w:val="•"/>
      <w:rPr>
        <w:color w:val="3370ff"/>
      </w:rPr>
    </w:lvl>
  </w:abstractNum>
  <w:abstractNum w:abstractNumId="390812">
    <w:lvl>
      <w:numFmt w:val="bullet"/>
      <w:suff w:val="tab"/>
      <w:lvlText w:val="•"/>
      <w:rPr>
        <w:color w:val="3370ff"/>
      </w:rPr>
    </w:lvl>
  </w:abstractNum>
  <w:abstractNum w:abstractNumId="390813">
    <w:lvl>
      <w:numFmt w:val="bullet"/>
      <w:suff w:val="tab"/>
      <w:lvlText w:val="•"/>
      <w:rPr>
        <w:color w:val="3370ff"/>
      </w:rPr>
    </w:lvl>
  </w:abstractNum>
  <w:abstractNum w:abstractNumId="390814">
    <w:lvl>
      <w:numFmt w:val="bullet"/>
      <w:suff w:val="tab"/>
      <w:lvlText w:val="•"/>
      <w:rPr>
        <w:color w:val="3370ff"/>
      </w:rPr>
    </w:lvl>
  </w:abstractNum>
  <w:abstractNum w:abstractNumId="390815">
    <w:lvl>
      <w:numFmt w:val="bullet"/>
      <w:suff w:val="tab"/>
      <w:lvlText w:val="•"/>
      <w:rPr>
        <w:color w:val="3370ff"/>
      </w:rPr>
    </w:lvl>
  </w:abstractNum>
  <w:abstractNum w:abstractNumId="390816">
    <w:lvl>
      <w:numFmt w:val="bullet"/>
      <w:suff w:val="tab"/>
      <w:lvlText w:val="•"/>
      <w:rPr>
        <w:color w:val="3370ff"/>
      </w:rPr>
    </w:lvl>
  </w:abstractNum>
  <w:abstractNum w:abstractNumId="390817">
    <w:lvl>
      <w:numFmt w:val="bullet"/>
      <w:suff w:val="tab"/>
      <w:lvlText w:val="•"/>
      <w:rPr>
        <w:color w:val="3370ff"/>
      </w:rPr>
    </w:lvl>
  </w:abstractNum>
  <w:abstractNum w:abstractNumId="390818">
    <w:lvl>
      <w:numFmt w:val="bullet"/>
      <w:suff w:val="tab"/>
      <w:lvlText w:val="•"/>
      <w:rPr>
        <w:color w:val="3370ff"/>
      </w:rPr>
    </w:lvl>
  </w:abstractNum>
  <w:abstractNum w:abstractNumId="390819">
    <w:lvl>
      <w:start w:val="10"/>
      <w:numFmt w:val="decimal"/>
      <w:suff w:val="tab"/>
      <w:lvlText w:val="%1."/>
      <w:rPr>
        <w:color w:val="3370ff"/>
      </w:rPr>
    </w:lvl>
  </w:abstractNum>
  <w:num w:numId="1">
    <w:abstractNumId w:val="390798"/>
  </w:num>
  <w:num w:numId="2">
    <w:abstractNumId w:val="390799"/>
  </w:num>
  <w:num w:numId="3">
    <w:abstractNumId w:val="390800"/>
  </w:num>
  <w:num w:numId="4">
    <w:abstractNumId w:val="390801"/>
  </w:num>
  <w:num w:numId="5">
    <w:abstractNumId w:val="390802"/>
  </w:num>
  <w:num w:numId="6">
    <w:abstractNumId w:val="390803"/>
  </w:num>
  <w:num w:numId="7">
    <w:abstractNumId w:val="390804"/>
  </w:num>
  <w:num w:numId="8">
    <w:abstractNumId w:val="390805"/>
  </w:num>
  <w:num w:numId="9">
    <w:abstractNumId w:val="390806"/>
  </w:num>
  <w:num w:numId="10">
    <w:abstractNumId w:val="390807"/>
  </w:num>
  <w:num w:numId="11">
    <w:abstractNumId w:val="390808"/>
  </w:num>
  <w:num w:numId="12">
    <w:abstractNumId w:val="390809"/>
  </w:num>
  <w:num w:numId="13">
    <w:abstractNumId w:val="390810"/>
  </w:num>
  <w:num w:numId="14">
    <w:abstractNumId w:val="390811"/>
  </w:num>
  <w:num w:numId="15">
    <w:abstractNumId w:val="390812"/>
  </w:num>
  <w:num w:numId="16">
    <w:abstractNumId w:val="390813"/>
  </w:num>
  <w:num w:numId="17">
    <w:abstractNumId w:val="390814"/>
  </w:num>
  <w:num w:numId="18">
    <w:abstractNumId w:val="390815"/>
  </w:num>
  <w:num w:numId="19">
    <w:abstractNumId w:val="390816"/>
  </w:num>
  <w:num w:numId="20">
    <w:abstractNumId w:val="390817"/>
  </w:num>
  <w:num w:numId="21">
    <w:abstractNumId w:val="390818"/>
  </w:num>
  <w:num w:numId="22">
    <w:abstractNumId w:val="390819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2026-02-12T06:45:37Z</dcterms:created>
  <dc:creator>Apache POI</dc:creator>
</cp:coreProperties>
</file>