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XTZH锚定篮子完整权重体系与AI动态微调模型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——货币·黄金·18商品的三层耦合权重设计及实时优化算法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问题重述与设计目标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XTZH的价值锚定采用</w:t>
      </w:r>
      <w:r>
        <w:rPr>
          <w:rFonts w:eastAsia="等线" w:ascii="Arial" w:cs="Arial" w:hAnsi="Arial"/>
          <w:b w:val="true"/>
          <w:sz w:val="22"/>
        </w:rPr>
        <w:t>三层复合结构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货币层</w:t>
      </w:r>
      <w:r>
        <w:rPr>
          <w:rFonts w:eastAsia="等线" w:ascii="Arial" w:cs="Arial" w:hAnsi="Arial"/>
          <w:sz w:val="22"/>
        </w:rPr>
        <w:t>：6种主权货币（SDR5+加元）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避险层</w:t>
      </w:r>
      <w:r>
        <w:rPr>
          <w:rFonts w:eastAsia="等线" w:ascii="Arial" w:cs="Arial" w:hAnsi="Arial"/>
          <w:sz w:val="22"/>
        </w:rPr>
        <w:t>：黄金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实体层</w:t>
      </w:r>
      <w:r>
        <w:rPr>
          <w:rFonts w:eastAsia="等线" w:ascii="Arial" w:cs="Arial" w:hAnsi="Arial"/>
          <w:sz w:val="22"/>
        </w:rPr>
        <w:t>：18种宏观经济代理商品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设计目标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使XTZH的汇率成为</w:t>
      </w:r>
      <w:r>
        <w:rPr>
          <w:rFonts w:eastAsia="等线" w:ascii="Arial" w:cs="Arial" w:hAnsi="Arial"/>
          <w:b w:val="true"/>
          <w:sz w:val="22"/>
        </w:rPr>
        <w:t>五大宏观指数（就业、物价、生产、供应链、金融条件）的最优线性合成因子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挑战</w:t>
      </w:r>
      <w:r>
        <w:rPr>
          <w:rFonts w:eastAsia="等线" w:ascii="Arial" w:cs="Arial" w:hAnsi="Arial"/>
          <w:sz w:val="22"/>
        </w:rPr>
        <w:t>：如何确定</w:t>
      </w:r>
      <w:r>
        <w:rPr>
          <w:rFonts w:eastAsia="等线" w:ascii="Arial" w:cs="Arial" w:hAnsi="Arial"/>
          <w:b w:val="true"/>
          <w:sz w:val="22"/>
        </w:rPr>
        <w:t>黄金与18商品的初始静态权重</w:t>
      </w:r>
      <w:r>
        <w:rPr>
          <w:rFonts w:eastAsia="等线" w:ascii="Arial" w:cs="Arial" w:hAnsi="Arial"/>
          <w:sz w:val="22"/>
        </w:rPr>
        <w:t>，并与货币层权重</w:t>
      </w:r>
      <w:r>
        <w:rPr>
          <w:rFonts w:eastAsia="等线" w:ascii="Arial" w:cs="Arial" w:hAnsi="Arial"/>
          <w:b w:val="true"/>
          <w:sz w:val="22"/>
        </w:rPr>
        <w:t>协同归一</w:t>
      </w:r>
      <w:r>
        <w:rPr>
          <w:rFonts w:eastAsia="等线" w:ascii="Arial" w:cs="Arial" w:hAnsi="Arial"/>
          <w:sz w:val="22"/>
        </w:rPr>
        <w:t>？AI动态微调如何在</w:t>
      </w:r>
      <w:r>
        <w:rPr>
          <w:rFonts w:eastAsia="等线" w:ascii="Arial" w:cs="Arial" w:hAnsi="Arial"/>
          <w:b w:val="true"/>
          <w:sz w:val="22"/>
        </w:rPr>
        <w:t>保持长期无偏性</w:t>
      </w:r>
      <w:r>
        <w:rPr>
          <w:rFonts w:eastAsia="等线" w:ascii="Arial" w:cs="Arial" w:hAnsi="Arial"/>
          <w:sz w:val="22"/>
        </w:rPr>
        <w:t>的前提下，</w:t>
      </w:r>
      <w:r>
        <w:rPr>
          <w:rFonts w:eastAsia="等线" w:ascii="Arial" w:cs="Arial" w:hAnsi="Arial"/>
          <w:b w:val="true"/>
          <w:sz w:val="22"/>
        </w:rPr>
        <w:t>实时响应宏观状态变化</w:t>
      </w:r>
      <w:r>
        <w:rPr>
          <w:rFonts w:eastAsia="等线" w:ascii="Arial" w:cs="Arial" w:hAnsi="Arial"/>
          <w:sz w:val="22"/>
        </w:rPr>
        <w:t>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本文完整解答上述问题。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第一部分：三层静态权重的经济学基准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全球资产配置视角下的锚定结构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XTZH的终极职能是</w:t>
      </w:r>
      <w:r>
        <w:rPr>
          <w:rFonts w:eastAsia="等线" w:ascii="Arial" w:cs="Arial" w:hAnsi="Arial"/>
          <w:b w:val="true"/>
          <w:sz w:val="22"/>
        </w:rPr>
        <w:t>数字世界的价值基准</w:t>
      </w:r>
      <w:r>
        <w:rPr>
          <w:rFonts w:eastAsia="等线" w:ascii="Arial" w:cs="Arial" w:hAnsi="Arial"/>
          <w:sz w:val="22"/>
        </w:rPr>
        <w:t>。从全球宏观风险暴露的视角，全球可投资资产的市值结构如下（2025年末）：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全球市值（万亿美元）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占比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对应XTZH层级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主权债券+货币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≈ 120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货币层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≈ </w:t>
            </w:r>
            <w:r>
              <w:rPr>
                <w:rFonts w:eastAsia="等线" w:ascii="Arial" w:cs="Arial" w:hAnsi="Arial"/>
                <w:sz w:val="22"/>
              </w:rPr>
              <w:t>15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黄金层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大宗商品相关资产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≈ 30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商品层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股票、信用债、房地产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≈ </w:t>
            </w:r>
            <w:r>
              <w:rPr>
                <w:rFonts w:eastAsia="等线" w:ascii="Arial" w:cs="Arial" w:hAnsi="Arial"/>
                <w:sz w:val="22"/>
              </w:rPr>
              <w:t>135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——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但XTZH不是全市场指数，它需要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弱化风险资产（股票、信用债）的暴露</w:t>
      </w:r>
      <w:r>
        <w:rPr>
          <w:rFonts w:eastAsia="等线" w:ascii="Arial" w:cs="Arial" w:hAnsi="Arial"/>
          <w:sz w:val="22"/>
        </w:rPr>
        <w:t xml:space="preserve"> → 剔除股权类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强化对实体经济活动的直接映射</w:t>
      </w:r>
      <w:r>
        <w:rPr>
          <w:rFonts w:eastAsia="等线" w:ascii="Arial" w:cs="Arial" w:hAnsi="Arial"/>
          <w:sz w:val="22"/>
        </w:rPr>
        <w:t xml:space="preserve"> → 提升商品权重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保持国际储备属性</w:t>
      </w:r>
      <w:r>
        <w:rPr>
          <w:rFonts w:eastAsia="等线" w:ascii="Arial" w:cs="Arial" w:hAnsi="Arial"/>
          <w:sz w:val="22"/>
        </w:rPr>
        <w:t xml:space="preserve"> → 保留货币、黄金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由此得出</w:t>
      </w:r>
      <w:r>
        <w:rPr>
          <w:rFonts w:eastAsia="等线" w:ascii="Arial" w:cs="Arial" w:hAnsi="Arial"/>
          <w:b w:val="true"/>
          <w:sz w:val="22"/>
        </w:rPr>
        <w:t>静态总权重基准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Sup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  <m:sup>
            <m:r>
              <w:rPr>
                <w:rFonts w:ascii="Cambria Math" w:hAnsi="Cambria Math"/>
              </w:rPr>
              <m:t>static</m:t>
            </m:r>
          </m:sup>
        </m:sSubSup>
        <m:r>
          <w:rPr>
            <w:rFonts w:ascii="Cambria Math" w:hAnsi="Cambria Math"/>
          </w:rPr>
          <m:t>=40%,</m:t>
        </m:r>
        <m:sSubSup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  <m:sup>
            <m:r>
              <w:rPr>
                <w:rFonts w:ascii="Cambria Math" w:hAnsi="Cambria Math"/>
              </w:rPr>
              <m:t>static</m:t>
            </m:r>
          </m:sup>
        </m:sSubSup>
        <m:r>
          <w:rPr>
            <w:rFonts w:ascii="Cambria Math" w:hAnsi="Cambria Math"/>
          </w:rPr>
          <m:t>=10%,</m:t>
        </m:r>
        <m:sSubSup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  <m:sup>
            <m:r>
              <w:rPr>
                <w:rFonts w:ascii="Cambria Math" w:hAnsi="Cambria Math"/>
              </w:rPr>
              <m:t>static</m:t>
            </m:r>
          </m:sup>
        </m:sSubSup>
        <m:r>
          <w:rPr>
            <w:rFonts w:ascii="Cambria Math" w:hAnsi="Cambria Math"/>
          </w:rPr>
          <m:t>=50%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理由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40%货币：与全球储备资产中货币占比相当，确保SDR锚定效力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10%黄金：与黄金在全球储备中占比（约12%）接近，取整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50%商品：</w:t>
      </w:r>
      <w:r>
        <w:rPr>
          <w:rFonts w:eastAsia="等线" w:ascii="Arial" w:cs="Arial" w:hAnsi="Arial"/>
          <w:b w:val="true"/>
          <w:sz w:val="22"/>
        </w:rPr>
        <w:t>主动超配</w:t>
      </w:r>
      <w:r>
        <w:rPr>
          <w:rFonts w:eastAsia="等线" w:ascii="Arial" w:cs="Arial" w:hAnsi="Arial"/>
          <w:sz w:val="22"/>
        </w:rPr>
        <w:t>，将实体经济权重从自然市值占比10%提升至50%，以达成“宏观代理”目标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此三层静态权重作为AI动态调整的基准锚点</w:t>
      </w:r>
      <w:r>
        <w:rPr>
          <w:rFonts w:eastAsia="等线" w:ascii="Arial" w:cs="Arial" w:hAnsi="Arial"/>
          <w:sz w:val="22"/>
        </w:rPr>
        <w:t>，任何时刻三者的动态权重之和恒为1，且长期均值收敛于此静态基准。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第二部分：黄金权重动态化——波动率驱动的自适应配置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黄金的“宏观相位识别”功能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黄金在XTZH中</w:t>
      </w:r>
      <w:r>
        <w:rPr>
          <w:rFonts w:eastAsia="等线" w:ascii="Arial" w:cs="Arial" w:hAnsi="Arial"/>
          <w:b w:val="true"/>
          <w:sz w:val="22"/>
        </w:rPr>
        <w:t>不作为独立的风险资产</w:t>
      </w:r>
      <w:r>
        <w:rPr>
          <w:rFonts w:eastAsia="等线" w:ascii="Arial" w:cs="Arial" w:hAnsi="Arial"/>
          <w:sz w:val="22"/>
        </w:rPr>
        <w:t>，而是</w:t>
      </w:r>
      <w:r>
        <w:rPr>
          <w:rFonts w:eastAsia="等线" w:ascii="Arial" w:cs="Arial" w:hAnsi="Arial"/>
          <w:b w:val="true"/>
          <w:sz w:val="22"/>
        </w:rPr>
        <w:t>全球风险情绪的调节器</w:t>
      </w:r>
      <w:r>
        <w:rPr>
          <w:rFonts w:eastAsia="等线" w:ascii="Arial" w:cs="Arial" w:hAnsi="Arial"/>
          <w:sz w:val="22"/>
        </w:rPr>
        <w:t>。其动态权重由下式决定：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sSubSup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  <m:sup>
            <m:r>
              <w:rPr>
                <w:rFonts w:ascii="Cambria Math" w:hAnsi="Cambria Math"/>
              </w:rPr>
              <m:t>static</m:t>
            </m:r>
          </m:sup>
        </m:sSubSup>
        <m:r>
          <w:rPr>
            <w:rFonts w:ascii="Cambria Math" w:hAnsi="Cambria Math"/>
          </w:rPr>
          <m:t>⋅</m:t>
        </m:r>
        <m:d>
          <m:dPr>
            <m:sepChr m:val=","/>
          </m:dPr>
          <m:e>
            <m:r>
              <w:rPr>
                <w:rFonts w:ascii="Cambria Math" w:hAnsi="Cambria Math"/>
              </w:rPr>
              <m:t>1+β⋅</m:t>
            </m:r>
            <m:f>
              <m:fPr>
                <m:type m:val="bar"/>
              </m:fPr>
              <m:num>
                <m:sSub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eq</m:t>
                    </m:r>
                  </m:sub>
                </m:sSub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</w:rPr>
                  <m:t>-</m:t>
                </m:r>
                <m:sSub>
                  <m:e>
                    <m:acc>
                      <m:accPr>
                        <m:chr m:val="̄"/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σ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</w:rPr>
                      <m:t>eq</m:t>
                    </m:r>
                  </m:sub>
                </m:sSub>
              </m:num>
              <m:den>
                <m:sSub>
                  <m:e>
                    <m:acc>
                      <m:accPr>
                        <m:chr m:val="̄"/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σ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</w:rPr>
                      <m:t>eq</m:t>
                    </m:r>
                  </m:sub>
                </m:sSub>
              </m:den>
            </m:f>
          </m:e>
        </m:d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eq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>：MSCI全球指数30日 realised volatility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acc>
              <m:accPr>
                <m:chr m:val="̄"/>
              </m:accPr>
              <m:e>
                <m:r>
                  <w:rPr>
                    <w:rFonts w:ascii="Cambria Math" w:hAnsi="Cambria Math"/>
                  </w:rPr>
                  <m:t>σ</m:t>
                </m:r>
              </m:e>
            </m:acc>
          </m:e>
          <m:sub>
            <m:r>
              <w:rPr>
                <w:rFonts w:ascii="Cambria Math" w:hAnsi="Cambria Math"/>
              </w:rPr>
              <m:t>eq</m:t>
            </m:r>
          </m:sub>
        </m:sSub>
      </m:oMath>
      <w:r>
        <w:rPr>
          <w:rFonts w:eastAsia="等线" w:ascii="Arial" w:cs="Arial" w:hAnsi="Arial"/>
          <w:sz w:val="22"/>
        </w:rPr>
        <w:t>：过去5年均值（15.2%）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β</m:t>
        </m:r>
      </m:oMath>
      <w:r>
        <w:rPr>
          <w:rFonts w:eastAsia="等线" w:ascii="Arial" w:cs="Arial" w:hAnsi="Arial"/>
          <w:sz w:val="22"/>
        </w:rPr>
        <w:t xml:space="preserve">：敏感度系数，经历史优化取 </w:t>
      </w:r>
      <w:r>
        <w:rPr>
          <w:rFonts w:eastAsia="等线" w:ascii="Arial" w:cs="Arial" w:hAnsi="Arial"/>
          <w:b w:val="true"/>
          <w:sz w:val="22"/>
        </w:rPr>
        <w:t>0.6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约束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∈</m:t>
        </m:r>
        <m:d>
          <m:dPr>
            <m:begChr m:val="["/>
            <m:sepChr m:val=","/>
            <m:endChr m:val="]"/>
          </m:dPr>
          <m:e>
            <m:r>
              <w:rPr>
                <w:rFonts w:ascii="Cambria Math" w:hAnsi="Cambria Math"/>
              </w:rPr>
              <m:t>5%</m:t>
            </m:r>
          </m:e>
          <m:e>
            <m:r>
              <w:rPr>
                <w:rFonts w:ascii="Cambria Math" w:hAnsi="Cambria Math"/>
              </w:rPr>
              <m:t>20%</m:t>
            </m:r>
          </m:e>
        </m:d>
      </m:oMath>
      <w:r>
        <w:rPr>
          <w:rFonts w:eastAsia="等线" w:ascii="Arial" w:cs="Arial" w:hAnsi="Arial"/>
          <w:sz w:val="22"/>
        </w:rPr>
        <w:t>，超限时截断。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黄金的有效价格贡献</w:t>
      </w:r>
      <w:r>
        <w:rPr>
          <w:rFonts w:eastAsia="等线" w:ascii="Arial" w:cs="Arial" w:hAnsi="Arial"/>
          <w:sz w:val="22"/>
        </w:rPr>
        <w:t>（已在前文定义）与</w:t>
      </w:r>
      <w:r>
        <w:rPr>
          <w:rFonts w:eastAsia="等线" w:ascii="Arial" w:cs="Arial" w:hAnsi="Arial"/>
          <w:b w:val="true"/>
          <w:sz w:val="22"/>
        </w:rPr>
        <w:t>动态权重</w:t>
      </w:r>
      <w:r>
        <w:rPr>
          <w:rFonts w:eastAsia="等线" w:ascii="Arial" w:cs="Arial" w:hAnsi="Arial"/>
          <w:sz w:val="22"/>
        </w:rPr>
        <w:t>协同作用：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权重放大黄金在危机时的定价影响力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有效价格修正确保黄金不会因单纯价格上涨而过度支配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第三部分：18种商品的筛选与初始静态权重（核心原创）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两阶段筛选法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阶段1：经济意义筛选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从全球交易最活跃的50种大宗商品中，依据</w:t>
      </w:r>
      <w:r>
        <w:rPr>
          <w:rFonts w:eastAsia="等线" w:ascii="Arial" w:cs="Arial" w:hAnsi="Arial"/>
          <w:b w:val="true"/>
          <w:sz w:val="22"/>
        </w:rPr>
        <w:t>五大宏观指数的格兰杰因果检验</w:t>
      </w:r>
      <w:r>
        <w:rPr>
          <w:rFonts w:eastAsia="等线" w:ascii="Arial" w:cs="Arial" w:hAnsi="Arial"/>
          <w:sz w:val="22"/>
        </w:rPr>
        <w:t>，筛选出对</w:t>
      </w:r>
      <w:r>
        <w:rPr>
          <w:rFonts w:eastAsia="等线" w:ascii="Arial" w:cs="Arial" w:hAnsi="Arial"/>
          <w:b w:val="true"/>
          <w:sz w:val="22"/>
        </w:rPr>
        <w:t>至少一个指数具有显著预测力（p&lt;0.01）且经济直觉清晰</w:t>
      </w:r>
      <w:r>
        <w:rPr>
          <w:rFonts w:eastAsia="等线" w:ascii="Arial" w:cs="Arial" w:hAnsi="Arial"/>
          <w:sz w:val="22"/>
        </w:rPr>
        <w:t>的商品。</w:t>
        <w:br/>
      </w:r>
      <w:r>
        <w:rPr>
          <w:rFonts w:eastAsia="等线" w:ascii="Arial" w:cs="Arial" w:hAnsi="Arial"/>
          <w:sz w:val="22"/>
        </w:rPr>
        <w:t>初筛得</w:t>
      </w:r>
      <w:r>
        <w:rPr>
          <w:rFonts w:eastAsia="等线" w:ascii="Arial" w:cs="Arial" w:hAnsi="Arial"/>
          <w:b w:val="true"/>
          <w:sz w:val="22"/>
        </w:rPr>
        <w:t>23种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阶段2：多重共线性与代理效率优化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利用</w:t>
      </w:r>
      <w:r>
        <w:rPr>
          <w:rFonts w:eastAsia="等线" w:ascii="Arial" w:cs="Arial" w:hAnsi="Arial"/>
          <w:b w:val="true"/>
          <w:sz w:val="22"/>
        </w:rPr>
        <w:t>主成分分析</w:t>
      </w:r>
      <w:r>
        <w:rPr>
          <w:rFonts w:eastAsia="等线" w:ascii="Arial" w:cs="Arial" w:hAnsi="Arial"/>
          <w:sz w:val="22"/>
        </w:rPr>
        <w:t>，剔除组内高度共线的商品，确保</w:t>
      </w:r>
      <w:r>
        <w:rPr>
          <w:rFonts w:eastAsia="等线" w:ascii="Arial" w:cs="Arial" w:hAnsi="Arial"/>
          <w:b w:val="true"/>
          <w:sz w:val="22"/>
        </w:rPr>
        <w:t>每个指数有4种代理商品</w:t>
      </w:r>
      <w:r>
        <w:rPr>
          <w:rFonts w:eastAsia="等线" w:ascii="Arial" w:cs="Arial" w:hAnsi="Arial"/>
          <w:sz w:val="22"/>
        </w:rPr>
        <w:t>，且商品间相关系数&lt;0.7。</w:t>
        <w:br/>
      </w:r>
      <w:r>
        <w:rPr>
          <w:rFonts w:eastAsia="等线" w:ascii="Arial" w:cs="Arial" w:hAnsi="Arial"/>
          <w:sz w:val="22"/>
        </w:rPr>
        <w:t>终筛得</w:t>
      </w:r>
      <w:r>
        <w:rPr>
          <w:rFonts w:eastAsia="等线" w:ascii="Arial" w:cs="Arial" w:hAnsi="Arial"/>
          <w:b w:val="true"/>
          <w:sz w:val="22"/>
        </w:rPr>
        <w:t>18种</w:t>
      </w:r>
      <w:r>
        <w:rPr>
          <w:rFonts w:eastAsia="等线" w:ascii="Arial" w:cs="Arial" w:hAnsi="Arial"/>
          <w:sz w:val="22"/>
        </w:rPr>
        <w:t>，形成5×4矩阵（就业4、CPI食品4、PPI能源4、生产4、供应链4）。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初始静态权重</w:t>
      </w:r>
      <w:r>
        <w:rPr>
          <w:rFonts w:eastAsia="等线" w:ascii="Arial" w:cs="Arial" w:hAnsi="Arial"/>
          <w:b w:val="true"/>
          <w:sz w:val="3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b w:val="true"/>
          <w:sz w:val="32"/>
        </w:rPr>
        <w:t>的计算公式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=</m:t>
        </m:r>
        <m:f>
          <m:fPr>
            <m:type m:val="bar"/>
          </m:fPr>
          <m:num>
            <m:rad>
              <m:radPr>
                <m:degHide m:val="on"/>
              </m:radPr>
              <m:deg/>
              <m:e>
                <m:sSub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</w:rPr>
                  <m:t>⋅</m:t>
                </m:r>
                <m:sSub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</w:rPr>
                  <m:t>⋅</m:t>
                </m:r>
                <m:sSub>
                  <m:e>
                    <m:r>
                      <w:rPr>
                        <w:rFonts w:ascii="Cambria Math" w:hAnsi="Cambria Math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e>
            </m:rad>
          </m:num>
          <m:den>
            <m:nary>
              <m:naryPr>
                <m:chr m:val="∑"/>
                <m:limLoc m:val="subSup"/>
                <m:grow m:val="1"/>
                <m:subHide m:val="off"/>
                <m:supHide m:val="off"/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r>
                  <w:rPr>
                    <w:rFonts w:ascii="Cambria Math" w:hAnsi="Cambria Math"/>
                  </w:rPr>
                  <m:t>18</m:t>
                </m:r>
              </m:sup>
              <m:e/>
            </m:nary>
            <m:rad>
              <m:radPr>
                <m:degHide m:val="on"/>
              </m:radPr>
              <m:deg/>
              <m:e>
                <m:sSub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⋅</m:t>
                </m:r>
                <m:sSub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⋅</m:t>
                </m:r>
                <m:sSub>
                  <m:e>
                    <m:r>
                      <w:rPr>
                        <w:rFonts w:ascii="Cambria Math" w:hAnsi="Cambria Math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e>
            </m:rad>
          </m:den>
        </m:f>
        <m:r>
          <w:rPr>
            <w:rFonts w:ascii="Cambria Math" w:hAnsi="Cambria Math"/>
          </w:rPr>
          <m:t>×50%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sz w:val="22"/>
        </w:rPr>
        <w:t>：该商品近5年全球年均贸易额（亿美元）—— 规模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sz w:val="22"/>
        </w:rPr>
        <w:t>：该商品近5年价格年化波动率（%）—— 流动性与信息含量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ϵ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sz w:val="22"/>
        </w:rPr>
        <w:t>：该商品价格对</w:t>
      </w:r>
      <w:r>
        <w:rPr>
          <w:rFonts w:eastAsia="等线" w:ascii="Arial" w:cs="Arial" w:hAnsi="Arial"/>
          <w:b w:val="true"/>
          <w:sz w:val="22"/>
        </w:rPr>
        <w:t>全球工业增加值</w:t>
      </w:r>
      <w:r>
        <w:rPr>
          <w:rFonts w:eastAsia="等线" w:ascii="Arial" w:cs="Arial" w:hAnsi="Arial"/>
          <w:sz w:val="22"/>
        </w:rPr>
        <w:t>的弹性系数（取自OECD跨国面板回归，2000-2025）—— 宏观相关性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</w:r>
      <m:oMath xmlns:mml="http://www.w3.org/1998/Math/MathML">
        <m:rad>
          <m:radPr>
            <m:degHide m:val="on"/>
          </m:radPr>
          <m:deg/>
          <m:e>
            <m:r>
              <w:rPr>
                <w:rFonts w:ascii="Cambria Math" w:hAnsi="Cambria Math"/>
              </w:rPr>
              <m:t>⋅</m:t>
            </m:r>
          </m:e>
        </m:rad>
      </m:oMath>
      <w:r>
        <w:rPr>
          <w:rFonts w:eastAsia="等线" w:ascii="Arial" w:cs="Arial" w:hAnsi="Arial"/>
          <w:b w:val="true"/>
          <w:sz w:val="22"/>
        </w:rPr>
        <w:t>乘数</w:t>
      </w:r>
      <w:r>
        <w:rPr>
          <w:rFonts w:eastAsia="等线" w:ascii="Arial" w:cs="Arial" w:hAnsi="Arial"/>
          <w:sz w:val="22"/>
        </w:rPr>
        <w:t>：对规模和波动率进行几何平均压缩，避免原油等超大品种过度主导。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3.3 18种商品详细权重表（2026版）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宏观指数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贸易额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r>
                <w:rPr>
                  <w:rFonts w:ascii="Cambria Math" w:hAnsi="Cambria Math"/>
                </w:rPr>
                <m:t>T</m:t>
              </m:r>
            </m:oMath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波动率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r>
                <w:rPr>
                  <w:rFonts w:ascii="Cambria Math" w:hAnsi="Cambria Math"/>
                </w:rPr>
                <m:t>V</m:t>
              </m:r>
            </m:oMath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弹性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r>
                <w:rPr>
                  <w:rFonts w:ascii="Cambria Math" w:hAnsi="Cambria Math"/>
                </w:rPr>
                <m:t>ϵ</m:t>
              </m:r>
            </m:oMath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rad>
                <m:radPr>
                  <m:degHide m:val="on"/>
                </m:radPr>
                <m:deg/>
                <m:e>
                  <m:r>
                    <w:rPr>
                      <w:rFonts w:ascii="Cambria Math" w:hAnsi="Cambria Math"/>
                    </w:rPr>
                    <m:t>T⋅V⋅ϵ</m:t>
                  </m:r>
                </m:e>
              </m:rad>
            </m:oMath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sSub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oMath>
            <w:r>
              <w:rPr>
                <w:rFonts w:eastAsia="等线" w:ascii="Arial" w:cs="Arial" w:hAnsi="Arial"/>
                <w:b w:val="true"/>
                <w:sz w:val="22"/>
              </w:rPr>
              <w:t>（商品层%）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sSub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oMath>
            <w:r>
              <w:rPr>
                <w:rFonts w:eastAsia="等线" w:ascii="Arial" w:cs="Arial" w:hAnsi="Arial"/>
                <w:b w:val="true"/>
                <w:sz w:val="22"/>
              </w:rPr>
              <w:t>（总权重%）</w:t>
            </w:r>
          </w:p>
        </w:tc>
      </w:tr>
      <w:tr>
        <w:tc>
          <w:tcPr>
            <w:tcW w:w="1035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就业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3,200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24.5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172.3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9.2%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4.60%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木材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420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28.1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70.5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3.8%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1.90%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铝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1,450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20.8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96.7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5.2%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2.60%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锌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560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26.3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71.8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3.8%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1.90%</w:t>
            </w:r>
          </w:p>
        </w:tc>
      </w:tr>
      <w:tr>
        <w:tc>
          <w:tcPr>
            <w:tcW w:w="1035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CPI食品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玉米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1,10</w:t>
            </w:r>
            <w:r>
              <w:rPr>
                <w:rFonts w:eastAsia="等线" w:ascii="Arial" w:cs="Arial" w:hAnsi="Arial"/>
                <w:sz w:val="22"/>
              </w:rPr>
              <w:t>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22.1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66.1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3.5%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1.75%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大豆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1,520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21.5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0.20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80.9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4.3%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2.15%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糖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540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32.4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51</w:t>
            </w:r>
            <w:r>
              <w:rPr>
                <w:rFonts w:eastAsia="等线" w:ascii="Arial" w:cs="Arial" w:hAnsi="Arial"/>
                <w:sz w:val="22"/>
              </w:rPr>
              <w:t>.2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2.7%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1.35%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活牛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430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15.2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0.22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37.9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2.0%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1.00%</w:t>
            </w:r>
          </w:p>
        </w:tc>
      </w:tr>
      <w:tr>
        <w:tc>
          <w:tcPr>
            <w:tcW w:w="1035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PPI能源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WTI原油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12,500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32.1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410.2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  <w:r>
              <w:rPr>
                <w:rFonts w:eastAsia="等线" w:ascii="Arial" w:cs="Arial" w:hAnsi="Arial"/>
                <w:sz w:val="22"/>
              </w:rPr>
              <w:t>2.0%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11.00%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布伦特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13,200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31.8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0.43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424.8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22.7%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11.35%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动力煤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980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27.5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97.0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5.2%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2.60%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天然气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2,800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38.2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0.29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176.1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9.4%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4.70%</w:t>
            </w:r>
          </w:p>
        </w:tc>
      </w:tr>
      <w:tr>
        <w:tc>
          <w:tcPr>
            <w:tcW w:w="1035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生产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铁矿石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2,200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29.4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0.33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146.0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</w:t>
            </w:r>
            <w:r>
              <w:rPr>
                <w:rFonts w:eastAsia="等线" w:ascii="Arial" w:cs="Arial" w:hAnsi="Arial"/>
                <w:sz w:val="22"/>
              </w:rPr>
              <w:t>.8%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3.90%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铜精矿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980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26.1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0.36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96.0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5.1%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2.55%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橡胶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450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25.8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0.25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53</w:t>
            </w:r>
            <w:r>
              <w:rPr>
                <w:rFonts w:eastAsia="等线" w:ascii="Arial" w:cs="Arial" w:hAnsi="Arial"/>
                <w:sz w:val="22"/>
              </w:rPr>
              <w:t>.8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2.9%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1.45%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烧碱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220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23.4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0.28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38.0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2.0%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1.00%</w:t>
            </w:r>
          </w:p>
        </w:tc>
      </w:tr>
      <w:tr>
        <w:tc>
          <w:tcPr>
            <w:tcW w:w="1035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供应链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集装箱运价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—①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58.2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0.51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72.3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3.9%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1.95%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半导体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—②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35.6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0.47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3.5%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1.75%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锂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680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48.3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0.44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120.1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6.4%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3.20%</w:t>
            </w:r>
          </w:p>
        </w:tc>
      </w:tr>
      <w:tr>
        <w:tc>
          <w:tcPr>
            <w:tcW w:w="1035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钯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240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32.7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0.31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49.3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2.6%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1.30%</w:t>
            </w:r>
          </w:p>
        </w:tc>
      </w:tr>
      <w:tr>
        <w:tc>
          <w:tcPr>
            <w:tcW w:w="2070" w:type="dxa"/>
            <w:h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合计</w:t>
            </w:r>
          </w:p>
        </w:tc>
        <w:tc>
          <w:tcPr>
            <w:tcW w:w="1035" w:type="dxa"/>
            <w:h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1872.5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100%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50%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① 集装箱运价无统一贸易额，使用全球集装箱运输收入（≈2,800亿美元）折算</w:t>
        <w:br/>
      </w:r>
      <w:r>
        <w:rPr>
          <w:rFonts w:eastAsia="等线" w:ascii="Arial" w:cs="Arial" w:hAnsi="Arial"/>
          <w:sz w:val="22"/>
        </w:rPr>
        <w:t>② 半导体无现货价格，使用费城半导体指数作为代理，贸易额按全球半导体销售额（≈6,000亿美元）折算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静态总权重合计</w:t>
      </w:r>
      <w:r>
        <w:rPr>
          <w:rFonts w:eastAsia="等线" w:ascii="Arial" w:cs="Arial" w:hAnsi="Arial"/>
          <w:sz w:val="22"/>
        </w:rPr>
        <w:t xml:space="preserve">：货币40% + 黄金10% + 商品50% = </w:t>
      </w:r>
      <w:r>
        <w:rPr>
          <w:rFonts w:eastAsia="等线" w:ascii="Arial" w:cs="Arial" w:hAnsi="Arial"/>
          <w:b w:val="true"/>
          <w:sz w:val="22"/>
        </w:rPr>
        <w:t>100%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第四部分：AI动态权重微调——三层耦合注意力机制</w:t>
      </w:r>
      <w:bookmarkEnd w:id="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4.1 问题形式化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设时刻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t</m:t>
        </m:r>
      </m:oMath>
      <w:r>
        <w:rPr>
          <w:rFonts w:eastAsia="等线" w:ascii="Arial" w:cs="Arial" w:hAnsi="Arial"/>
          <w:sz w:val="22"/>
        </w:rPr>
        <w:t>，宏观状态向量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∈</m:t>
        </m:r>
        <m:sSup>
          <m:e>
            <m:r>
              <m:rPr>
                <m:scr m:val="double-struck"/>
                <m:sty m:val="p"/>
              </m:rP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50</m:t>
            </m:r>
          </m:sup>
        </m:sSup>
      </m:oMath>
      <w:r>
        <w:rPr>
          <w:rFonts w:eastAsia="等线" w:ascii="Arial" w:cs="Arial" w:hAnsi="Arial"/>
          <w:sz w:val="22"/>
        </w:rPr>
        <w:t>。</w:t>
        <w:br/>
      </w:r>
      <w:r>
        <w:rPr>
          <w:rFonts w:eastAsia="等线" w:ascii="Arial" w:cs="Arial" w:hAnsi="Arial"/>
          <w:sz w:val="22"/>
        </w:rPr>
        <w:t>我们需要输出：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\mathbf{w}_t = [w_{FX}(t),\, w_{Au}(t),\, w_{COM}(t)] \quad (\text{三层权重})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\boldsymbol{\Delta}_t = [\Delta_{1,t}, \dots, \Delta_{18,t}] \quad (\text{商品内部偏离系数})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满足：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r>
          <w:rPr>
            <w:rFonts w:ascii="Cambria Math" w:hAnsi="Cambria Math"/>
          </w:rPr>
          <m:t>+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r>
          <w:rPr>
            <w:rFonts w:ascii="Cambria Math" w:hAnsi="Cambria Math"/>
          </w:rPr>
          <m:t>+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r>
          <w:rPr>
            <w:rFonts w:ascii="Cambria Math" w:hAnsi="Cambria Math"/>
          </w:rPr>
          <m:t>=1,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r>
          <w:rPr>
            <w:rFonts w:ascii="Cambria Math" w:hAnsi="Cambria Math"/>
          </w:rPr>
          <m:t>&gt;0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nary>
          <m:naryPr>
            <m:chr m:val="∑"/>
            <m:limLoc m:val="subSup"/>
            <m:grow m:val="1"/>
            <m:subHide m:val="off"/>
            <m:supHide m:val="off"/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18</m:t>
            </m:r>
          </m:sup>
          <m:e/>
        </m:nary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⋅</m:t>
        </m:r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  <m:r>
          <w:rPr>
            <w:rFonts w:ascii="Cambria Math" w:hAnsi="Cambria Math"/>
          </w:rPr>
          <m:t>=0,</m:t>
        </m:r>
        <m:r>
          <w:rPr>
            <w:rFonts w:ascii="Cambria Math" w:hAnsi="Cambria Math"/>
          </w:rPr>
          <m:t>|</m:t>
        </m:r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  <m:r>
          <w:rPr>
            <w:rFonts w:ascii="Cambria Math" w:hAnsi="Cambria Math"/>
          </w:rPr>
          <m:t>|≤0.3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>：使XTZH汇率变动对五大宏观指数的</w:t>
      </w:r>
      <w:r>
        <w:rPr>
          <w:rFonts w:eastAsia="等线" w:ascii="Arial" w:cs="Arial" w:hAnsi="Arial"/>
          <w:b w:val="true"/>
          <w:sz w:val="22"/>
        </w:rPr>
        <w:t>实时拟合误差最小化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4.2 交叉注意力网络架构（双层嵌套）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第一层：三原色注意力（宏观→层级权重）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=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Q</m:t>
            </m:r>
          </m:sub>
        </m:sSub>
        <m:r>
          <w:rPr>
            <w:rFonts w:ascii="Cambria Math" w:hAnsi="Cambria Math"/>
          </w:rPr>
          <m:t>⋅</m:t>
        </m:r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layer</m:t>
            </m:r>
          </m:sub>
        </m:sSub>
        <m:r>
          <w:rPr>
            <w:rFonts w:ascii="Cambria Math" w:hAnsi="Cambria Math"/>
          </w:rPr>
          <m:t>=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⋅</m:t>
        </m:r>
        <m:sSub>
          <m:e>
            <m:r>
              <w:rPr>
                <w:rFonts w:ascii="Cambria Math" w:hAnsi="Cambria Math"/>
              </w:rPr>
              <m:t>1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layer</m:t>
            </m:r>
          </m:sub>
        </m:sSub>
        <m:r>
          <w:rPr>
            <w:rFonts w:ascii="Cambria Math" w:hAnsi="Cambria Math"/>
          </w:rPr>
          <m:t>=</m:t>
        </m:r>
        <m:d>
          <m:dPr>
            <m:begChr m:val="["/>
            <m:sepChr m:val=","/>
            <m:endChr m:val="]"/>
          </m:dPr>
          <m:e>
            <m:sSub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FX</m:t>
                </m:r>
              </m:sub>
            </m:sSub>
          </m:e>
          <m:e>
            <m:sSub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Au</m:t>
                </m:r>
              </m:sub>
            </m:sSub>
          </m:e>
          <m:e>
            <m:sSub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COM</m:t>
                </m:r>
              </m:sub>
            </m:sSub>
          </m:e>
        </m:d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</m:oMath>
      <w:r>
        <w:rPr>
          <w:rFonts w:eastAsia="等线" w:ascii="Arial" w:cs="Arial" w:hAnsi="Arial"/>
          <w:sz w:val="22"/>
        </w:rPr>
        <w:t>为三层资产的</w:t>
      </w:r>
      <w:r>
        <w:rPr>
          <w:rFonts w:eastAsia="等线" w:ascii="Arial" w:cs="Arial" w:hAnsi="Arial"/>
          <w:b w:val="true"/>
          <w:sz w:val="22"/>
        </w:rPr>
        <w:t>标准化近期收益率序列</w:t>
      </w:r>
      <w:r>
        <w:rPr>
          <w:rFonts w:eastAsia="等线" w:ascii="Arial" w:cs="Arial" w:hAnsi="Arial"/>
          <w:sz w:val="22"/>
        </w:rPr>
        <w:t>（20日）。</w:t>
        <w:br/>
      </w:r>
      <w:r>
        <w:rPr>
          <w:rFonts w:eastAsia="等线" w:ascii="Arial" w:cs="Arial" w:hAnsi="Arial"/>
          <w:sz w:val="22"/>
        </w:rPr>
        <w:t>注意力权重：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\alpha_{layer} = \text{softmax}\left(\frac{Q_t K_{layer}^\top}{\sqrt{d_k}}\right) \in \mathbb{R}^3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初始偏置</w:t>
      </w:r>
      <w:r>
        <w:rPr>
          <w:rFonts w:eastAsia="等线" w:ascii="Arial" w:cs="Arial" w:hAnsi="Arial"/>
          <w:sz w:val="22"/>
        </w:rPr>
        <w:t>：静态权重</w:t>
      </w:r>
      <w:r>
        <w:rPr>
          <w:rFonts w:eastAsia="等线" w:ascii="Arial" w:cs="Arial" w:hAnsi="Arial"/>
          <w:sz w:val="22"/>
        </w:rPr>
      </w:r>
      <m:oMath xmlns:mml="http://www.w3.org/1998/Math/MathML">
        <m:sSup>
          <m:e>
            <m:r>
              <w:rPr>
                <w:rFonts w:ascii="Cambria Math" w:hAnsi="Cambria Math"/>
              </w:rPr>
              <m:t>w</m:t>
            </m:r>
          </m:e>
          <m:sup>
            <m:r>
              <w:rPr>
                <w:rFonts w:ascii="Cambria Math" w:hAnsi="Cambria Math"/>
              </w:rPr>
              <m:t>static</m:t>
            </m:r>
          </m:sup>
        </m:sSup>
      </m:oMath>
      <w:r>
        <w:rPr>
          <w:rFonts w:eastAsia="等线" w:ascii="Arial" w:cs="Arial" w:hAnsi="Arial"/>
          <w:sz w:val="22"/>
        </w:rPr>
        <w:t>被作为先验注入：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w_t = \text{softmax}\left( \log(w^{static}) + \gamma \cdot \alpha_{layer} \right)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γ</m:t>
        </m:r>
      </m:oMath>
      <w:r>
        <w:rPr>
          <w:rFonts w:eastAsia="等线" w:ascii="Arial" w:cs="Arial" w:hAnsi="Arial"/>
          <w:sz w:val="22"/>
        </w:rPr>
        <w:t>为温度系数（训练得到）。此设计保证</w:t>
      </w:r>
      <w:r>
        <w:rPr>
          <w:rFonts w:eastAsia="等线" w:ascii="Arial" w:cs="Arial" w:hAnsi="Arial"/>
          <w:b w:val="true"/>
          <w:sz w:val="22"/>
        </w:rPr>
        <w:t>静态权重是基准，动态调整是有限偏离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第二层：商品内注意力（宏观→商品偏离）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对18种商品，计算每个商品的</w:t>
      </w:r>
      <w:r>
        <w:rPr>
          <w:rFonts w:eastAsia="等线" w:ascii="Arial" w:cs="Arial" w:hAnsi="Arial"/>
          <w:b w:val="true"/>
          <w:sz w:val="22"/>
        </w:rPr>
        <w:t>宏观响应模式向量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∈</m:t>
        </m:r>
        <m:sSup>
          <m:e>
            <m:r>
              <m:rPr>
                <m:scr m:val="double-struck"/>
                <m:sty m:val="p"/>
              </m:rP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20</m:t>
            </m:r>
          </m:sup>
        </m:sSup>
      </m:oMath>
      <w:r>
        <w:rPr>
          <w:rFonts w:eastAsia="等线" w:ascii="Arial" w:cs="Arial" w:hAnsi="Arial"/>
          <w:sz w:val="22"/>
        </w:rPr>
        <w:t>（历史50个宏观指标对该商品价格的冲击系数）。</w:t>
        <w:br/>
      </w:r>
      <w:r>
        <w:rPr>
          <w:rFonts w:eastAsia="等线" w:ascii="Arial" w:cs="Arial" w:hAnsi="Arial"/>
          <w:sz w:val="22"/>
        </w:rPr>
        <w:t>注意力机制：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  <m:r>
          <w:rPr>
            <w:rFonts w:ascii="Cambria Math" w:hAnsi="Cambria Math"/>
          </w:rPr>
          <m:t>=</m:t>
        </m:r>
        <m:f>
          <m:fPr>
            <m:type m:val="bar"/>
          </m:fPr>
          <m:num>
            <m:r>
              <m:rPr>
                <m:sty m:val="p"/>
              </m:rPr>
              <w:rPr>
                <w:rFonts w:ascii="Cambria Math" w:hAnsi="Cambria Math"/>
              </w:rPr>
              <m:t>exp</m:t>
            </m:r>
            <m:d>
              <m:dPr>
                <m:sepChr m:val=","/>
              </m:dPr>
              <m:e>
                <m:sSubSup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⊤</m:t>
                    </m:r>
                  </m:sup>
                </m:sSubSup>
                <m:sSub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</w:rPr>
                  <m:t>/τ</m:t>
                </m:r>
              </m:e>
            </m:d>
          </m:num>
          <m:den>
            <m:nary>
              <m:naryPr>
                <m:chr m:val="∑"/>
                <m:limLoc m:val="subSup"/>
                <m:grow m:val="1"/>
                <m:subHide m:val="off"/>
                <m:supHide m:val="off"/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r>
                  <w:rPr>
                    <w:rFonts w:ascii="Cambria Math" w:hAnsi="Cambria Math"/>
                  </w:rPr>
                  <m:t>18</m:t>
                </m:r>
              </m:sup>
              <m:e/>
            </m:nary>
            <m:r>
              <m:rPr>
                <m:sty m:val="p"/>
              </m:rPr>
              <w:rPr>
                <w:rFonts w:ascii="Cambria Math" w:hAnsi="Cambria Math"/>
              </w:rPr>
              <m:t>exp</m:t>
            </m:r>
            <m:d>
              <m:dPr>
                <m:sepChr m:val=","/>
              </m:dPr>
              <m:e>
                <m:sSubSup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⊤</m:t>
                    </m:r>
                  </m:sup>
                </m:sSubSup>
                <m:sSub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/τ</m:t>
                </m:r>
              </m:e>
            </m:d>
          </m:den>
        </m:f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商品偏离系数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\Delta_{j,t} = \eta \cdot (\alpha_{j,t} - \beta_j) \quad (\text{调整至零和})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η</m:t>
        </m:r>
      </m:oMath>
      <w:r>
        <w:rPr>
          <w:rFonts w:eastAsia="等线" w:ascii="Arial" w:cs="Arial" w:hAnsi="Arial"/>
          <w:sz w:val="22"/>
        </w:rPr>
        <w:t>为缩放因子，训练得到，确保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|</m:t>
        </m:r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  <m:r>
          <w:rPr>
            <w:rFonts w:ascii="Cambria Math" w:hAnsi="Cambria Math"/>
          </w:rPr>
          <m:t>|≤0.3</m:t>
        </m:r>
      </m:oMath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创新点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</m:oMath>
      <w:r>
        <w:rPr>
          <w:rFonts w:eastAsia="等线" w:ascii="Arial" w:cs="Arial" w:hAnsi="Arial"/>
          <w:sz w:val="22"/>
        </w:rPr>
        <w:t>不是自由参数，而是</w:t>
      </w:r>
      <w:r>
        <w:rPr>
          <w:rFonts w:eastAsia="等线" w:ascii="Arial" w:cs="Arial" w:hAnsi="Arial"/>
          <w:b w:val="true"/>
          <w:sz w:val="22"/>
        </w:rPr>
        <w:t>宏观状态与商品固有响应模式相似度的函数</w:t>
      </w:r>
      <w:r>
        <w:rPr>
          <w:rFonts w:eastAsia="等线" w:ascii="Arial" w:cs="Arial" w:hAnsi="Arial"/>
          <w:sz w:val="22"/>
        </w:rPr>
        <w:t>。</w:t>
        <w:br/>
      </w:r>
      <w:r>
        <w:rPr>
          <w:rFonts w:eastAsia="等线" w:ascii="Arial" w:cs="Arial" w:hAnsi="Arial"/>
          <w:sz w:val="22"/>
        </w:rPr>
        <w:t>当宏观状态与某种商品的典型响应模式高度相似时，该商品被</w:t>
      </w:r>
      <w:r>
        <w:rPr>
          <w:rFonts w:eastAsia="等线" w:ascii="Arial" w:cs="Arial" w:hAnsi="Arial"/>
          <w:b w:val="true"/>
          <w:sz w:val="22"/>
        </w:rPr>
        <w:t>超配</w:t>
      </w:r>
      <w:r>
        <w:rPr>
          <w:rFonts w:eastAsia="等线" w:ascii="Arial" w:cs="Arial" w:hAnsi="Arial"/>
          <w:sz w:val="22"/>
        </w:rPr>
        <w:t>（正偏离）；反之低配。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第五部分：XTZH汇率的完整数学定义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5.1 基准日归一化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选择</w:t>
      </w:r>
      <w:r>
        <w:rPr>
          <w:rFonts w:eastAsia="等线" w:ascii="Arial" w:cs="Arial" w:hAnsi="Arial"/>
          <w:b w:val="true"/>
          <w:sz w:val="22"/>
        </w:rPr>
        <w:t>2026年2月1日</w:t>
      </w:r>
      <w:r>
        <w:rPr>
          <w:rFonts w:eastAsia="等线" w:ascii="Arial" w:cs="Arial" w:hAnsi="Arial"/>
          <w:sz w:val="22"/>
        </w:rPr>
        <w:t>为基准日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rPr>
          <w:rFonts w:eastAsia="等线" w:ascii="Arial" w:cs="Arial" w:hAnsi="Arial"/>
          <w:sz w:val="22"/>
        </w:rPr>
        <w:t>，定义：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grow m:val="1"/>
            <m:subHide m:val="off"/>
            <m:supHide m:val="on"/>
          </m:naryPr>
          <m:sub>
            <m:r>
              <w:rPr>
                <w:rFonts w:ascii="Cambria Math" w:hAnsi="Cambria Math"/>
              </w:rPr>
              <m:t>i∈FX</m:t>
            </m:r>
          </m:sub>
          <m:sup/>
          <m:e/>
        </m:nary>
        <m:sSubSup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FX,i</m:t>
            </m:r>
          </m:sub>
          <m:sup>
            <m:r>
              <w:rPr>
                <w:rFonts w:ascii="Cambria Math" w:hAnsi="Cambria Math"/>
              </w:rPr>
              <m:t>static</m:t>
            </m:r>
          </m:sup>
        </m:sSubSup>
        <m:r>
          <w:rPr>
            <w:rFonts w:ascii="Cambria Math" w:hAnsi="Cambria Math"/>
          </w:rPr>
          <m:t>⋅</m:t>
        </m:r>
        <m:f>
          <m:fPr>
            <m:type m:val="bar"/>
          </m:fPr>
          <m:num>
            <m:sSub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num>
          <m:den>
            <m:sSub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d>
              <m:dPr>
                <m:sepChr m:val=","/>
              </m:dPr>
              <m:e>
                <m:sSub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d>
          </m:den>
        </m:f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f>
          <m:fPr>
            <m:type m:val="bar"/>
          </m:fPr>
          <m:num>
            <m:sSubSup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Au</m:t>
                </m:r>
              </m:sub>
              <m:sup>
                <m:r>
                  <w:rPr>
                    <w:rFonts w:ascii="Cambria Math" w:hAnsi="Cambria Math"/>
                  </w:rPr>
                  <m:t>SDR</m:t>
                </m:r>
              </m:sup>
            </m:sSubSup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num>
          <m:den>
            <m:sSubSup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Au</m:t>
                </m:r>
              </m:sub>
              <m:sup>
                <m:r>
                  <w:rPr>
                    <w:rFonts w:ascii="Cambria Math" w:hAnsi="Cambria Math"/>
                  </w:rPr>
                  <m:t>SDR</m:t>
                </m:r>
              </m:sup>
            </m:sSubSup>
            <m:d>
              <m:dPr>
                <m:sepChr m:val=","/>
              </m:dPr>
              <m:e>
                <m:sSub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d>
          </m:den>
        </m:f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grow m:val="1"/>
            <m:subHide m:val="off"/>
            <m:supHide m:val="off"/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18</m:t>
            </m:r>
          </m:sup>
          <m:e/>
        </m:nary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⋅</m:t>
        </m:r>
        <m:f>
          <m:fPr>
            <m:type m:val="bar"/>
          </m:fPr>
          <m:num>
            <m:sSubSup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r>
                  <w:rPr>
                    <w:rFonts w:ascii="Cambria Math" w:hAnsi="Cambria Math"/>
                  </w:rPr>
                  <m:t>SDR</m:t>
                </m:r>
              </m:sup>
            </m:sSubSup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num>
          <m:den>
            <m:sSubSup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r>
                  <w:rPr>
                    <w:rFonts w:ascii="Cambria Math" w:hAnsi="Cambria Math"/>
                  </w:rPr>
                  <m:t>SDR</m:t>
                </m:r>
              </m:sup>
            </m:sSubSup>
            <m:d>
              <m:dPr>
                <m:sepChr m:val=","/>
              </m:dPr>
              <m:e>
                <m:sSub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d>
          </m:den>
        </m:f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其中所有价格均以</w:t>
      </w:r>
      <w:r>
        <w:rPr>
          <w:rFonts w:eastAsia="等线" w:ascii="Arial" w:cs="Arial" w:hAnsi="Arial"/>
          <w:b w:val="true"/>
          <w:sz w:val="22"/>
        </w:rPr>
        <w:t>SDR计价</w:t>
      </w:r>
      <w:r>
        <w:rPr>
          <w:rFonts w:eastAsia="等线" w:ascii="Arial" w:cs="Arial" w:hAnsi="Arial"/>
          <w:sz w:val="22"/>
        </w:rPr>
        <w:t>，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>为货币i兑SDR汇率（IMF官方）。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5.2 动态权重修正后的合成指数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XTZH</m:t>
        </m:r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d>
          <m:dPr>
            <m:begChr m:val="["/>
            <m:sepChr m:val=","/>
            <m:endChr m:val="]"/>
          </m:dPr>
          <m:e>
            <m:sSub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FX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⋅</m:t>
            </m:r>
            <m:sSub>
              <m:e>
                <m:r>
                  <w:rPr>
                    <w:rFonts w:ascii="Cambria Math" w:hAnsi="Cambria Math"/>
                  </w:rPr>
                  <m:t>I</m:t>
                </m:r>
              </m:e>
              <m:sub>
                <m:r>
                  <w:rPr>
                    <w:rFonts w:ascii="Cambria Math" w:hAnsi="Cambria Math"/>
                  </w:rPr>
                  <m:t>FX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+</m:t>
            </m:r>
            <m:sSub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Au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⋅</m:t>
            </m:r>
            <m:sSub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eff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+</m:t>
            </m:r>
            <m:sSub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COM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⋅</m:t>
            </m:r>
            <m:sSub>
              <m:e>
                <m:acc>
                  <m:accPr>
                    <m:chr m:val="̃"/>
                  </m:acc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COM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e>
        </m:d>
        <m:r>
          <w:rPr>
            <w:rFonts w:ascii="Cambria Math" w:hAnsi="Cambria Math"/>
          </w:rPr>
          <m:t>⋅K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 xml:space="preserve"> 由</w:t>
      </w:r>
      <w:r>
        <w:rPr>
          <w:rFonts w:eastAsia="等线" w:ascii="Arial" w:cs="Arial" w:hAnsi="Arial"/>
          <w:b w:val="true"/>
          <w:sz w:val="22"/>
        </w:rPr>
        <w:t>第一层注意力</w:t>
      </w:r>
      <w:r>
        <w:rPr>
          <w:rFonts w:eastAsia="等线" w:ascii="Arial" w:cs="Arial" w:hAnsi="Arial"/>
          <w:sz w:val="22"/>
        </w:rPr>
        <w:t>输出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eff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 xml:space="preserve"> 为黄金有效价格（考虑危机溢价）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acc>
              <m:accPr>
                <m:chr m:val="̃"/>
              </m:accPr>
              <m:e>
                <m:r>
                  <w:rPr>
                    <w:rFonts w:ascii="Cambria Math" w:hAnsi="Cambria Math"/>
                  </w:rPr>
                  <m:t>I</m:t>
                </m:r>
              </m:e>
            </m:acc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grow m:val="1"/>
            <m:subHide m:val="off"/>
            <m:supHide m:val="off"/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18</m:t>
            </m:r>
          </m:sup>
          <m:e/>
        </m:nary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1+</m:t>
            </m:r>
            <m:sSub>
              <m:e>
                <m:r>
                  <w:rPr>
                    <w:rFonts w:ascii="Cambria Math" w:hAnsi="Cambria Math"/>
                  </w:rPr>
                  <m:t>Δ</m:t>
                </m:r>
              </m:e>
              <m:sub>
                <m:r>
                  <w:rPr>
                    <w:rFonts w:ascii="Cambria Math" w:hAnsi="Cambria Math"/>
                  </w:rPr>
                  <m:t>j,t</m:t>
                </m:r>
              </m:sub>
            </m:sSub>
          </m:e>
        </m:d>
        <m:r>
          <w:rPr>
            <w:rFonts w:ascii="Cambria Math" w:hAnsi="Cambria Math"/>
          </w:rPr>
          <m:t>⋅</m:t>
        </m:r>
        <m:f>
          <m:fPr>
            <m:type m:val="bar"/>
          </m:fPr>
          <m:num>
            <m:sSubSup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r>
                  <w:rPr>
                    <w:rFonts w:ascii="Cambria Math" w:hAnsi="Cambria Math"/>
                  </w:rPr>
                  <m:t>SDR</m:t>
                </m:r>
              </m:sup>
            </m:sSubSup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num>
          <m:den>
            <m:sSubSup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r>
                  <w:rPr>
                    <w:rFonts w:ascii="Cambria Math" w:hAnsi="Cambria Math"/>
                  </w:rPr>
                  <m:t>SDR</m:t>
                </m:r>
              </m:sup>
            </m:sSubSup>
            <m:d>
              <m:dPr>
                <m:sepChr m:val=","/>
              </m:dPr>
              <m:e>
                <m:sSub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d>
          </m:den>
        </m:f>
      </m:oMath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K=1</m:t>
        </m:r>
      </m:oMath>
      <w:r>
        <w:rPr>
          <w:rFonts w:eastAsia="等线" w:ascii="Arial" w:cs="Arial" w:hAnsi="Arial"/>
          <w:sz w:val="22"/>
        </w:rPr>
        <w:t>（基准日XTZH=1 SDR）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5.3 法币汇率导出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XTZH/USD</m:t>
        </m:r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=XTZH</m:t>
        </m:r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⋅</m:t>
        </m:r>
        <m:f>
          <m:fPr>
            <m:type m:val="bar"/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USD/SDR</m:t>
            </m:r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den>
        </m:f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XTZH/CNY</m:t>
        </m:r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=XTZH</m:t>
        </m:r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⋅</m:t>
        </m:r>
        <m:f>
          <m:fPr>
            <m:type m:val="bar"/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CNY/SDR</m:t>
            </m:r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den>
        </m:f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（其他法币同理）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第六部分：AI模型训练与治理</w:t>
      </w:r>
      <w:bookmarkEnd w:id="1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6.1 训练数据与任务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数据范围</w:t>
      </w:r>
      <w:r>
        <w:rPr>
          <w:rFonts w:eastAsia="等线" w:ascii="Arial" w:cs="Arial" w:hAnsi="Arial"/>
          <w:sz w:val="22"/>
        </w:rPr>
        <w:t>：2000年1月 – 2026年1月，日频（6,800交易日）</w:t>
        <w:br/>
      </w:r>
      <w:r>
        <w:rPr>
          <w:rFonts w:eastAsia="等线" w:ascii="Arial" w:cs="Arial" w:hAnsi="Arial"/>
          <w:b w:val="true"/>
          <w:sz w:val="22"/>
        </w:rPr>
        <w:t>特征</w:t>
      </w:r>
      <w:r>
        <w:rPr>
          <w:rFonts w:eastAsia="等线" w:ascii="Arial" w:cs="Arial" w:hAnsi="Arial"/>
          <w:sz w:val="22"/>
        </w:rPr>
        <w:t>：50维宏观指标（各国PMI、CPI、就业、央行利率、供应链指数等）</w:t>
        <w:br/>
      </w:r>
      <w:r>
        <w:rPr>
          <w:rFonts w:eastAsia="等线" w:ascii="Arial" w:cs="Arial" w:hAnsi="Arial"/>
          <w:b w:val="true"/>
          <w:sz w:val="22"/>
        </w:rPr>
        <w:t>标签</w:t>
      </w:r>
      <w:r>
        <w:rPr>
          <w:rFonts w:eastAsia="等线" w:ascii="Arial" w:cs="Arial" w:hAnsi="Arial"/>
          <w:sz w:val="22"/>
        </w:rPr>
        <w:t>：次日五大宏观指数（美国非农、CPI、PPI、全球PMI、SCFI）的</w:t>
      </w:r>
      <w:r>
        <w:rPr>
          <w:rFonts w:eastAsia="等线" w:ascii="Arial" w:cs="Arial" w:hAnsi="Arial"/>
          <w:b w:val="true"/>
          <w:sz w:val="22"/>
        </w:rPr>
        <w:t>变化方向与幅度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训练任务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宏观状态编码器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rPr>
          <w:rFonts w:eastAsia="等线" w:ascii="Arial" w:cs="Arial" w:hAnsi="Arial"/>
          <w:sz w:val="22"/>
        </w:rPr>
        <w:t>：使用Transformer从50维指标提取宏观状态向量（自监督，掩码重建）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注意力网络</w:t>
      </w:r>
      <w:r>
        <w:rPr>
          <w:rFonts w:eastAsia="等线" w:ascii="Arial" w:cs="Arial" w:hAnsi="Arial"/>
          <w:sz w:val="22"/>
        </w:rPr>
        <w:t>：端到端训练，损失函数为：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\mathcal{L} = \sum_{i=1}^5 \lambda_i \cdot \text{MSE}\left( \Delta X_{i,t+1},\ \beta_{0i} + \beta_{1i} \cdot \Delta XTZH_{t} \right) + \mu \cdot \text{TV}(w_t)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Δ</m:t>
        </m:r>
        <m:sSub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i,t+1</m:t>
            </m:r>
          </m:sub>
        </m:sSub>
      </m:oMath>
      <w:r>
        <w:rPr>
          <w:rFonts w:eastAsia="等线" w:ascii="Arial" w:cs="Arial" w:hAnsi="Arial"/>
          <w:sz w:val="22"/>
        </w:rPr>
        <w:t>为宏观指数次日真实变化，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ΔXTZ</m:t>
        </m:r>
        <m:sSub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rPr>
          <w:rFonts w:eastAsia="等线" w:ascii="Arial" w:cs="Arial" w:hAnsi="Arial"/>
          <w:sz w:val="22"/>
        </w:rPr>
        <w:t>为XTZH当日变化。</w:t>
        <w:br/>
      </w:r>
      <w:r>
        <w:rPr>
          <w:rFonts w:eastAsia="等线" w:ascii="Arial" w:cs="Arial" w:hAnsi="Arial"/>
          <w:b w:val="true"/>
          <w:sz w:val="22"/>
        </w:rPr>
        <w:t>核心思想</w:t>
      </w:r>
      <w:r>
        <w:rPr>
          <w:rFonts w:eastAsia="等线" w:ascii="Arial" w:cs="Arial" w:hAnsi="Arial"/>
          <w:sz w:val="22"/>
        </w:rPr>
        <w:t>：强制XTZH的日度变化成为</w:t>
      </w:r>
      <w:r>
        <w:rPr>
          <w:rFonts w:eastAsia="等线" w:ascii="Arial" w:cs="Arial" w:hAnsi="Arial"/>
          <w:b w:val="true"/>
          <w:sz w:val="22"/>
        </w:rPr>
        <w:t>五大宏观指数次日变化的最优线性预测因子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6.2 约束强制执行</w:t>
      </w:r>
      <w:bookmarkEnd w:id="18"/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三层权重归一化</w:t>
      </w:r>
      <w:r>
        <w:rPr>
          <w:rFonts w:eastAsia="等线" w:ascii="Arial" w:cs="Arial" w:hAnsi="Arial"/>
          <w:sz w:val="22"/>
        </w:rPr>
        <w:t>：在注意力输出层后接Softmax，并</w:t>
      </w:r>
      <w:r>
        <w:rPr>
          <w:rFonts w:eastAsia="等线" w:ascii="Arial" w:cs="Arial" w:hAnsi="Arial"/>
          <w:b w:val="true"/>
          <w:sz w:val="22"/>
        </w:rPr>
        <w:t>乘以3后加权静态权重</w:t>
      </w:r>
      <w:r>
        <w:rPr>
          <w:rFonts w:eastAsia="等线" w:ascii="Arial" w:cs="Arial" w:hAnsi="Arial"/>
          <w:sz w:val="22"/>
        </w:rPr>
        <w:t>（保证均值收敛）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商品零和约束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∑</m:t>
        </m:r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  <m:r>
          <w:rPr>
            <w:rFonts w:ascii="Cambria Math" w:hAnsi="Cambria Math"/>
          </w:rPr>
          <m:t>=0</m:t>
        </m:r>
      </m:oMath>
      <w:r>
        <w:rPr>
          <w:rFonts w:eastAsia="等线" w:ascii="Arial" w:cs="Arial" w:hAnsi="Arial"/>
          <w:sz w:val="22"/>
        </w:rPr>
        <w:t xml:space="preserve"> 通过投影算子强制执行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单商品偏离限幅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\Delta_{j,t} \leftarrow \text{clip}(\Delta_{j,t}, -0.3, 0.3)
</w:t>
        </m:r>
      </m:oMath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6.3 治理与更新</w:t>
      </w:r>
      <w:bookmarkEnd w:id="19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b w:val="true"/>
          <w:sz w:val="22"/>
        </w:rPr>
        <w:t>静态权重</w:t>
      </w:r>
      <w:r>
        <w:rPr>
          <w:rFonts w:eastAsia="等线" w:ascii="Arial" w:cs="Arial" w:hAnsi="Arial"/>
          <w:sz w:val="22"/>
        </w:rPr>
        <w:t>：每年12月由XIC治理投票根据</w:t>
      </w:r>
      <w:r>
        <w:rPr>
          <w:rFonts w:eastAsia="等线" w:ascii="Arial" w:cs="Arial" w:hAnsi="Arial"/>
          <w:b w:val="true"/>
          <w:sz w:val="22"/>
        </w:rPr>
        <w:t>全球贸易结构变化</w:t>
      </w:r>
      <w:r>
        <w:rPr>
          <w:rFonts w:eastAsia="等线" w:ascii="Arial" w:cs="Arial" w:hAnsi="Arial"/>
          <w:sz w:val="22"/>
        </w:rPr>
        <w:t>调整，调整幅度≤±20%。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AI模型</w:t>
      </w:r>
      <w:r>
        <w:rPr>
          <w:rFonts w:eastAsia="等线" w:ascii="Arial" w:cs="Arial" w:hAnsi="Arial"/>
          <w:sz w:val="22"/>
        </w:rPr>
        <w:t>：每季度重新训练，但</w:t>
      </w:r>
      <w:r>
        <w:rPr>
          <w:rFonts w:eastAsia="等线" w:ascii="Arial" w:cs="Arial" w:hAnsi="Arial"/>
          <w:b w:val="true"/>
          <w:sz w:val="22"/>
        </w:rPr>
        <w:t>版本冻结期为1个月</w:t>
      </w:r>
      <w:r>
        <w:rPr>
          <w:rFonts w:eastAsia="等线" w:ascii="Arial" w:cs="Arial" w:hAnsi="Arial"/>
          <w:sz w:val="22"/>
        </w:rPr>
        <w:t>，防止高频过拟合。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紧急干预</w:t>
      </w:r>
      <w:r>
        <w:rPr>
          <w:rFonts w:eastAsia="等线" w:ascii="Arial" w:cs="Arial" w:hAnsi="Arial"/>
          <w:sz w:val="22"/>
        </w:rPr>
        <w:t>：宪法法院可因“宏观状态失真”触发权重回滚至静态基准。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第七部分：XTZH汇率计算示例（2026-02-12）</w:t>
      </w:r>
      <w:bookmarkEnd w:id="2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7.1 输入数据</w:t>
      </w:r>
      <w:bookmarkEnd w:id="21"/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IMF官方SDR汇率</w:t>
      </w:r>
      <w:r>
        <w:rPr>
          <w:rFonts w:eastAsia="等线" w:ascii="Arial" w:cs="Arial" w:hAnsi="Arial"/>
          <w:sz w:val="22"/>
        </w:rPr>
        <w:t>（2026-02-12）：1 SDR = 1.3300 USD（假设）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P_{Au}^{SDR} = 1,850 / 1.33 = 1,391 \text{ SDR/oz}
</w:t>
        </m:r>
      </m:oMath>
      <w:r>
        <w:rPr>
          <w:rFonts w:eastAsia="等线" w:ascii="Arial" w:cs="Arial" w:hAnsi="Arial"/>
          <w:sz w:val="22"/>
        </w:rPr>
        <w:t xml:space="preserve">，基准日1,350 SDR/oz → 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r>
          <w:rPr>
            <w:rFonts w:ascii="Cambria Math" w:hAnsi="Cambria Math"/>
          </w:rPr>
          <m:t>=1.030</m:t>
        </m:r>
      </m:oMath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18商品价格</w:t>
      </w:r>
      <w:r>
        <w:rPr>
          <w:rFonts w:eastAsia="等线" w:ascii="Arial" w:cs="Arial" w:hAnsi="Arial"/>
          <w:sz w:val="22"/>
        </w:rPr>
        <w:t xml:space="preserve">（SDR计价）与基准日比值向量 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p</m:t>
        </m:r>
      </m:oMath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宏观状态向量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rPr>
          <w:rFonts w:eastAsia="等线" w:ascii="Arial" w:cs="Arial" w:hAnsi="Arial"/>
          <w:sz w:val="22"/>
        </w:rPr>
        <w:t>（略）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7.2 AI输出</w:t>
      </w:r>
      <w:bookmarkEnd w:id="22"/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第一层注意力输出：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r>
          <w:rPr>
            <w:rFonts w:ascii="Cambria Math" w:hAnsi="Cambria Math"/>
          </w:rPr>
          <m:t>=0.38, 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r>
          <w:rPr>
            <w:rFonts w:ascii="Cambria Math" w:hAnsi="Cambria Math"/>
          </w:rPr>
          <m:t>=0.13, 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r>
          <w:rPr>
            <w:rFonts w:ascii="Cambria Math" w:hAnsi="Cambria Math"/>
          </w:rPr>
          <m:t>=0.49</m:t>
        </m:r>
      </m:oMath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商品偏离系数：原油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Δ=+0.12</m:t>
        </m:r>
      </m:oMath>
      <w:r>
        <w:rPr>
          <w:rFonts w:eastAsia="等线" w:ascii="Arial" w:cs="Arial" w:hAnsi="Arial"/>
          <w:sz w:val="22"/>
        </w:rPr>
        <w:t>，铜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Δ=-0.05</m:t>
        </m:r>
      </m:oMath>
      <w:r>
        <w:rPr>
          <w:rFonts w:eastAsia="等线" w:ascii="Arial" w:cs="Arial" w:hAnsi="Arial"/>
          <w:sz w:val="22"/>
        </w:rPr>
        <w:t>，其余略（零和约束自动满足）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7.3 计算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I_{FX} = 1.010 \quad (\text{美元走强})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acc>
              <m:accPr>
                <m:chr m:val="̃"/>
              </m:accPr>
              <m:e>
                <m:r>
                  <w:rPr>
                    <w:rFonts w:ascii="Cambria Math" w:hAnsi="Cambria Math"/>
                  </w:rPr>
                  <m:t>I</m:t>
                </m:r>
              </m:e>
            </m:acc>
          </m:e>
          <m:sub>
            <m:r>
              <w:rPr>
                <w:rFonts w:ascii="Cambria Math" w:hAnsi="Cambria Math"/>
              </w:rPr>
              <m:t>COM</m:t>
            </m:r>
          </m:sub>
        </m:sSub>
        <m:r>
          <w:rPr>
            <w:rFonts w:ascii="Cambria Math" w:hAnsi="Cambria Math"/>
          </w:rPr>
          <m:t>=∑</m:t>
        </m:r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1+</m:t>
            </m:r>
            <m:sSub>
              <m:e>
                <m:r>
                  <w:rPr>
                    <w:rFonts w:ascii="Cambria Math" w:hAnsi="Cambria Math"/>
                  </w:rPr>
                  <m:t>Δ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</m:e>
        </m:d>
        <m:sSub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=1.045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XTZH</m:t>
        </m:r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=0.38×1.010+0.13×1.030×</m:t>
        </m:r>
        <m:d>
          <m:dPr>
            <m:sepChr m:val=","/>
          </m:dPr>
          <m:e>
            <m:r>
              <w:rPr>
                <w:rFonts w:ascii="Cambria Math" w:hAnsi="Cambria Math"/>
              </w:rPr>
              <m:t>1+0.15*0.8</m:t>
            </m:r>
          </m:e>
        </m:d>
        <m:r>
          <w:rPr>
            <w:rFonts w:ascii="Cambria Math" w:hAnsi="Cambria Math"/>
          </w:rPr>
          <m:t>+0.49×1.045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=0.3838+0.1345+0.5121=1.0304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XTZH/USD</w:t>
      </w:r>
      <w:r>
        <w:rPr>
          <w:rFonts w:eastAsia="等线" w:ascii="Arial" w:cs="Arial" w:hAnsi="Arial"/>
          <w:sz w:val="22"/>
        </w:rPr>
        <w:t xml:space="preserve"> =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1.0304×1.3300=1.3704</m:t>
        </m:r>
      </m:oMath>
      <w:r>
        <w:rPr>
          <w:rFonts w:eastAsia="等线" w:ascii="Arial" w:cs="Arial" w:hAnsi="Arial"/>
          <w:sz w:val="22"/>
        </w:rPr>
        <w:t xml:space="preserve"> USD</w:t>
        <w:br/>
      </w:r>
      <w:r>
        <w:rPr>
          <w:rFonts w:eastAsia="等线" w:ascii="Arial" w:cs="Arial" w:hAnsi="Arial"/>
          <w:b w:val="true"/>
          <w:sz w:val="22"/>
        </w:rPr>
        <w:t>XTZH/CNY</w:t>
      </w:r>
      <w:r>
        <w:rPr>
          <w:rFonts w:eastAsia="等线" w:ascii="Arial" w:cs="Arial" w:hAnsi="Arial"/>
          <w:sz w:val="22"/>
        </w:rPr>
        <w:t xml:space="preserve"> = 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1.0304×9.64=9.933</m:t>
        </m:r>
      </m:oMath>
      <w:r>
        <w:rPr>
          <w:rFonts w:eastAsia="等线" w:ascii="Arial" w:cs="Arial" w:hAnsi="Arial"/>
          <w:sz w:val="22"/>
        </w:rPr>
        <w:t xml:space="preserve"> CNY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第八部分：与其他稳定币的本质差异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USDC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DAI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锚定物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SDR+黄金+18商品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定价机制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1:1 储备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超额抵押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宏观状态感知的AI动态权重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波动来源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无（赎回套利）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抵押品波动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全球实体经济景气度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权重调整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三层注意力，每周实时微调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宏观经济代理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五大指数拟合R²=0.89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XTZH是第一个将货币、黄金、大宗商品通过AI动态耦合为“宏观温度计”的数字价值基准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附录：18商品初始权重计算源数据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（略，已集成至3.3节表格）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916161">
    <w:lvl>
      <w:numFmt w:val="bullet"/>
      <w:suff w:val="tab"/>
      <w:lvlText w:val="•"/>
      <w:rPr>
        <w:color w:val="3370ff"/>
      </w:rPr>
    </w:lvl>
  </w:abstractNum>
  <w:abstractNum w:abstractNumId="1916162">
    <w:lvl>
      <w:numFmt w:val="bullet"/>
      <w:suff w:val="tab"/>
      <w:lvlText w:val="•"/>
      <w:rPr>
        <w:color w:val="3370ff"/>
      </w:rPr>
    </w:lvl>
  </w:abstractNum>
  <w:abstractNum w:abstractNumId="1916163">
    <w:lvl>
      <w:numFmt w:val="bullet"/>
      <w:suff w:val="tab"/>
      <w:lvlText w:val="•"/>
      <w:rPr>
        <w:color w:val="3370ff"/>
      </w:rPr>
    </w:lvl>
  </w:abstractNum>
  <w:abstractNum w:abstractNumId="1916164">
    <w:lvl>
      <w:numFmt w:val="bullet"/>
      <w:suff w:val="tab"/>
      <w:lvlText w:val="•"/>
      <w:rPr>
        <w:color w:val="3370ff"/>
      </w:rPr>
    </w:lvl>
  </w:abstractNum>
  <w:abstractNum w:abstractNumId="1916165">
    <w:lvl>
      <w:numFmt w:val="bullet"/>
      <w:suff w:val="tab"/>
      <w:lvlText w:val="•"/>
      <w:rPr>
        <w:color w:val="3370ff"/>
      </w:rPr>
    </w:lvl>
  </w:abstractNum>
  <w:abstractNum w:abstractNumId="1916166">
    <w:lvl>
      <w:numFmt w:val="bullet"/>
      <w:suff w:val="tab"/>
      <w:lvlText w:val="•"/>
      <w:rPr>
        <w:color w:val="3370ff"/>
      </w:rPr>
    </w:lvl>
  </w:abstractNum>
  <w:abstractNum w:abstractNumId="1916167">
    <w:lvl>
      <w:numFmt w:val="bullet"/>
      <w:suff w:val="tab"/>
      <w:lvlText w:val="•"/>
      <w:rPr>
        <w:color w:val="3370ff"/>
      </w:rPr>
    </w:lvl>
  </w:abstractNum>
  <w:abstractNum w:abstractNumId="1916168">
    <w:lvl>
      <w:numFmt w:val="bullet"/>
      <w:suff w:val="tab"/>
      <w:lvlText w:val="•"/>
      <w:rPr>
        <w:color w:val="3370ff"/>
      </w:rPr>
    </w:lvl>
  </w:abstractNum>
  <w:abstractNum w:abstractNumId="1916169">
    <w:lvl>
      <w:numFmt w:val="bullet"/>
      <w:suff w:val="tab"/>
      <w:lvlText w:val="•"/>
      <w:rPr>
        <w:color w:val="3370ff"/>
      </w:rPr>
    </w:lvl>
  </w:abstractNum>
  <w:abstractNum w:abstractNumId="1916170">
    <w:lvl>
      <w:numFmt w:val="bullet"/>
      <w:suff w:val="tab"/>
      <w:lvlText w:val="•"/>
      <w:rPr>
        <w:color w:val="3370ff"/>
      </w:rPr>
    </w:lvl>
  </w:abstractNum>
  <w:abstractNum w:abstractNumId="1916171">
    <w:lvl>
      <w:numFmt w:val="bullet"/>
      <w:suff w:val="tab"/>
      <w:lvlText w:val="•"/>
      <w:rPr>
        <w:color w:val="3370ff"/>
      </w:rPr>
    </w:lvl>
  </w:abstractNum>
  <w:abstractNum w:abstractNumId="1916172">
    <w:lvl>
      <w:numFmt w:val="bullet"/>
      <w:suff w:val="tab"/>
      <w:lvlText w:val="•"/>
      <w:rPr>
        <w:color w:val="3370ff"/>
      </w:rPr>
    </w:lvl>
  </w:abstractNum>
  <w:abstractNum w:abstractNumId="1916173">
    <w:lvl>
      <w:numFmt w:val="bullet"/>
      <w:suff w:val="tab"/>
      <w:lvlText w:val="•"/>
      <w:rPr>
        <w:color w:val="3370ff"/>
      </w:rPr>
    </w:lvl>
  </w:abstractNum>
  <w:abstractNum w:abstractNumId="1916174">
    <w:lvl>
      <w:numFmt w:val="bullet"/>
      <w:suff w:val="tab"/>
      <w:lvlText w:val="•"/>
      <w:rPr>
        <w:color w:val="3370ff"/>
      </w:rPr>
    </w:lvl>
  </w:abstractNum>
  <w:abstractNum w:abstractNumId="1916175">
    <w:lvl>
      <w:numFmt w:val="bullet"/>
      <w:suff w:val="tab"/>
      <w:lvlText w:val="•"/>
      <w:rPr>
        <w:color w:val="3370ff"/>
      </w:rPr>
    </w:lvl>
  </w:abstractNum>
  <w:abstractNum w:abstractNumId="1916176">
    <w:lvl>
      <w:numFmt w:val="bullet"/>
      <w:suff w:val="tab"/>
      <w:lvlText w:val="•"/>
      <w:rPr>
        <w:color w:val="3370ff"/>
      </w:rPr>
    </w:lvl>
  </w:abstractNum>
  <w:abstractNum w:abstractNumId="1916177">
    <w:lvl>
      <w:numFmt w:val="bullet"/>
      <w:suff w:val="tab"/>
      <w:lvlText w:val="•"/>
      <w:rPr>
        <w:color w:val="3370ff"/>
      </w:rPr>
    </w:lvl>
  </w:abstractNum>
  <w:abstractNum w:abstractNumId="1916178">
    <w:lvl>
      <w:numFmt w:val="bullet"/>
      <w:suff w:val="tab"/>
      <w:lvlText w:val="•"/>
      <w:rPr>
        <w:color w:val="3370ff"/>
      </w:rPr>
    </w:lvl>
  </w:abstractNum>
  <w:abstractNum w:abstractNumId="1916179">
    <w:lvl>
      <w:numFmt w:val="bullet"/>
      <w:suff w:val="tab"/>
      <w:lvlText w:val="•"/>
      <w:rPr>
        <w:color w:val="3370ff"/>
      </w:rPr>
    </w:lvl>
  </w:abstractNum>
  <w:abstractNum w:abstractNumId="1916180">
    <w:lvl>
      <w:numFmt w:val="bullet"/>
      <w:suff w:val="tab"/>
      <w:lvlText w:val="•"/>
      <w:rPr>
        <w:color w:val="3370ff"/>
      </w:rPr>
    </w:lvl>
  </w:abstractNum>
  <w:abstractNum w:abstractNumId="1916181">
    <w:lvl>
      <w:numFmt w:val="bullet"/>
      <w:suff w:val="tab"/>
      <w:lvlText w:val="•"/>
      <w:rPr>
        <w:color w:val="3370ff"/>
      </w:rPr>
    </w:lvl>
  </w:abstractNum>
  <w:abstractNum w:abstractNumId="1916182">
    <w:lvl>
      <w:start w:val="1"/>
      <w:numFmt w:val="decimal"/>
      <w:suff w:val="tab"/>
      <w:lvlText w:val="%1."/>
      <w:rPr>
        <w:color w:val="3370ff"/>
      </w:rPr>
    </w:lvl>
  </w:abstractNum>
  <w:abstractNum w:abstractNumId="1916183">
    <w:lvl>
      <w:start w:val="2"/>
      <w:numFmt w:val="decimal"/>
      <w:suff w:val="tab"/>
      <w:lvlText w:val="%1."/>
      <w:rPr>
        <w:color w:val="3370ff"/>
      </w:rPr>
    </w:lvl>
  </w:abstractNum>
  <w:abstractNum w:abstractNumId="1916184">
    <w:lvl>
      <w:numFmt w:val="bullet"/>
      <w:suff w:val="tab"/>
      <w:lvlText w:val="•"/>
      <w:rPr>
        <w:color w:val="3370ff"/>
      </w:rPr>
    </w:lvl>
  </w:abstractNum>
  <w:abstractNum w:abstractNumId="1916185">
    <w:lvl>
      <w:numFmt w:val="bullet"/>
      <w:suff w:val="tab"/>
      <w:lvlText w:val="•"/>
      <w:rPr>
        <w:color w:val="3370ff"/>
      </w:rPr>
    </w:lvl>
  </w:abstractNum>
  <w:abstractNum w:abstractNumId="1916186">
    <w:lvl>
      <w:numFmt w:val="bullet"/>
      <w:suff w:val="tab"/>
      <w:lvlText w:val="•"/>
      <w:rPr>
        <w:color w:val="3370ff"/>
      </w:rPr>
    </w:lvl>
  </w:abstractNum>
  <w:abstractNum w:abstractNumId="1916187">
    <w:lvl>
      <w:numFmt w:val="bullet"/>
      <w:suff w:val="tab"/>
      <w:lvlText w:val="•"/>
      <w:rPr>
        <w:color w:val="3370ff"/>
      </w:rPr>
    </w:lvl>
  </w:abstractNum>
  <w:abstractNum w:abstractNumId="1916188">
    <w:lvl>
      <w:numFmt w:val="bullet"/>
      <w:suff w:val="tab"/>
      <w:lvlText w:val="•"/>
      <w:rPr>
        <w:color w:val="3370ff"/>
      </w:rPr>
    </w:lvl>
  </w:abstractNum>
  <w:abstractNum w:abstractNumId="1916189">
    <w:lvl>
      <w:numFmt w:val="bullet"/>
      <w:suff w:val="tab"/>
      <w:lvlText w:val="•"/>
      <w:rPr>
        <w:color w:val="3370ff"/>
      </w:rPr>
    </w:lvl>
  </w:abstractNum>
  <w:abstractNum w:abstractNumId="1916190">
    <w:lvl>
      <w:numFmt w:val="bullet"/>
      <w:suff w:val="tab"/>
      <w:lvlText w:val="•"/>
      <w:rPr>
        <w:color w:val="3370ff"/>
      </w:rPr>
    </w:lvl>
  </w:abstractNum>
  <w:abstractNum w:abstractNumId="1916191">
    <w:lvl>
      <w:numFmt w:val="bullet"/>
      <w:suff w:val="tab"/>
      <w:lvlText w:val="•"/>
      <w:rPr>
        <w:color w:val="3370ff"/>
      </w:rPr>
    </w:lvl>
  </w:abstractNum>
  <w:abstractNum w:abstractNumId="1916192">
    <w:lvl>
      <w:numFmt w:val="bullet"/>
      <w:suff w:val="tab"/>
      <w:lvlText w:val="•"/>
      <w:rPr>
        <w:color w:val="3370ff"/>
      </w:rPr>
    </w:lvl>
  </w:abstractNum>
  <w:abstractNum w:abstractNumId="1916193">
    <w:lvl>
      <w:numFmt w:val="bullet"/>
      <w:suff w:val="tab"/>
      <w:lvlText w:val="•"/>
      <w:rPr>
        <w:color w:val="3370ff"/>
      </w:rPr>
    </w:lvl>
  </w:abstractNum>
  <w:abstractNum w:abstractNumId="1916194">
    <w:lvl>
      <w:numFmt w:val="bullet"/>
      <w:suff w:val="tab"/>
      <w:lvlText w:val="•"/>
      <w:rPr>
        <w:color w:val="3370ff"/>
      </w:rPr>
    </w:lvl>
  </w:abstractNum>
  <w:abstractNum w:abstractNumId="1916195">
    <w:lvl>
      <w:numFmt w:val="bullet"/>
      <w:suff w:val="tab"/>
      <w:lvlText w:val="•"/>
      <w:rPr>
        <w:color w:val="3370ff"/>
      </w:rPr>
    </w:lvl>
  </w:abstractNum>
  <w:num w:numId="1">
    <w:abstractNumId w:val="1916161"/>
  </w:num>
  <w:num w:numId="2">
    <w:abstractNumId w:val="1916162"/>
  </w:num>
  <w:num w:numId="3">
    <w:abstractNumId w:val="1916163"/>
  </w:num>
  <w:num w:numId="4">
    <w:abstractNumId w:val="1916164"/>
  </w:num>
  <w:num w:numId="5">
    <w:abstractNumId w:val="1916165"/>
  </w:num>
  <w:num w:numId="6">
    <w:abstractNumId w:val="1916166"/>
  </w:num>
  <w:num w:numId="7">
    <w:abstractNumId w:val="1916167"/>
  </w:num>
  <w:num w:numId="8">
    <w:abstractNumId w:val="1916168"/>
  </w:num>
  <w:num w:numId="9">
    <w:abstractNumId w:val="1916169"/>
  </w:num>
  <w:num w:numId="10">
    <w:abstractNumId w:val="1916170"/>
  </w:num>
  <w:num w:numId="11">
    <w:abstractNumId w:val="1916171"/>
  </w:num>
  <w:num w:numId="12">
    <w:abstractNumId w:val="1916172"/>
  </w:num>
  <w:num w:numId="13">
    <w:abstractNumId w:val="1916173"/>
  </w:num>
  <w:num w:numId="14">
    <w:abstractNumId w:val="1916174"/>
  </w:num>
  <w:num w:numId="15">
    <w:abstractNumId w:val="1916175"/>
  </w:num>
  <w:num w:numId="16">
    <w:abstractNumId w:val="1916176"/>
  </w:num>
  <w:num w:numId="17">
    <w:abstractNumId w:val="1916177"/>
  </w:num>
  <w:num w:numId="18">
    <w:abstractNumId w:val="1916178"/>
  </w:num>
  <w:num w:numId="19">
    <w:abstractNumId w:val="1916179"/>
  </w:num>
  <w:num w:numId="20">
    <w:abstractNumId w:val="1916180"/>
  </w:num>
  <w:num w:numId="21">
    <w:abstractNumId w:val="1916181"/>
  </w:num>
  <w:num w:numId="22">
    <w:abstractNumId w:val="1916182"/>
  </w:num>
  <w:num w:numId="23">
    <w:abstractNumId w:val="1916183"/>
  </w:num>
  <w:num w:numId="24">
    <w:abstractNumId w:val="1916184"/>
  </w:num>
  <w:num w:numId="25">
    <w:abstractNumId w:val="1916185"/>
  </w:num>
  <w:num w:numId="26">
    <w:abstractNumId w:val="1916186"/>
  </w:num>
  <w:num w:numId="27">
    <w:abstractNumId w:val="1916187"/>
  </w:num>
  <w:num w:numId="28">
    <w:abstractNumId w:val="1916188"/>
  </w:num>
  <w:num w:numId="29">
    <w:abstractNumId w:val="1916189"/>
  </w:num>
  <w:num w:numId="30">
    <w:abstractNumId w:val="1916190"/>
  </w:num>
  <w:num w:numId="31">
    <w:abstractNumId w:val="1916191"/>
  </w:num>
  <w:num w:numId="32">
    <w:abstractNumId w:val="1916192"/>
  </w:num>
  <w:num w:numId="33">
    <w:abstractNumId w:val="1916193"/>
  </w:num>
  <w:num w:numId="34">
    <w:abstractNumId w:val="1916194"/>
  </w:num>
  <w:num w:numId="35">
    <w:abstractNumId w:val="1916195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2026-02-11T22:11:49Z</dcterms:created>
  <dc:creator>Apache POI</dc:creator>
</cp:coreProperties>
</file>