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XTZH AI汇率在NAC公链的技术落地架构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——从“算法定价”到“链上共识执行”的全栈方案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  <w:br/>
      </w:r>
      <w:r>
        <w:rPr>
          <w:rFonts w:eastAsia="等线" w:ascii="Arial" w:cs="Arial" w:hAnsi="Arial"/>
          <w:b w:val="true"/>
          <w:sz w:val="22"/>
        </w:rPr>
        <w:t>关联协议</w:t>
      </w:r>
      <w:r>
        <w:rPr>
          <w:rFonts w:eastAsia="等线" w:ascii="Arial" w:cs="Arial" w:hAnsi="Arial"/>
          <w:sz w:val="22"/>
        </w:rPr>
        <w:t>：NAC公链白皮书 v1.0、XTZH汇率定价模型 v1.0、ACC-20 v36</w:t>
        <w:br/>
      </w: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：NAC核心协议工程组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核心挑战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XTZH的汇率不再由单一资产锚定或简单算术公式决定，而是由</w:t>
      </w:r>
      <w:r>
        <w:rPr>
          <w:rFonts w:eastAsia="等线" w:ascii="Arial" w:cs="Arial" w:hAnsi="Arial"/>
          <w:b w:val="true"/>
          <w:sz w:val="22"/>
        </w:rPr>
        <w:t>AI宏观感知引擎</w:t>
      </w:r>
      <w:r>
        <w:rPr>
          <w:rFonts w:eastAsia="等线" w:ascii="Arial" w:cs="Arial" w:hAnsi="Arial"/>
          <w:sz w:val="22"/>
        </w:rPr>
        <w:t>实时生成。该引擎：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运行在</w:t>
      </w:r>
      <w:r>
        <w:rPr>
          <w:rFonts w:eastAsia="等线" w:ascii="Arial" w:cs="Arial" w:hAnsi="Arial"/>
          <w:b w:val="true"/>
          <w:sz w:val="22"/>
        </w:rPr>
        <w:t>链下</w:t>
      </w:r>
      <w:r>
        <w:rPr>
          <w:rFonts w:eastAsia="等线" w:ascii="Arial" w:cs="Arial" w:hAnsi="Arial"/>
          <w:sz w:val="22"/>
        </w:rPr>
        <w:t>（50维宏观特征、Transformer模型、日频推理）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输出</w:t>
      </w:r>
      <w:r>
        <w:rPr>
          <w:rFonts w:eastAsia="等线" w:ascii="Arial" w:cs="Arial" w:hAnsi="Arial"/>
          <w:b w:val="true"/>
          <w:sz w:val="22"/>
        </w:rPr>
        <w:t>动态三层权重</w:t>
      </w:r>
      <w:r>
        <w:rPr>
          <w:rFonts w:eastAsia="等线" w:ascii="Arial" w:cs="Arial" w:hAnsi="Arial"/>
          <w:sz w:val="22"/>
        </w:rPr>
        <w:t>与</w:t>
      </w:r>
      <w:r>
        <w:rPr>
          <w:rFonts w:eastAsia="等线" w:ascii="Arial" w:cs="Arial" w:hAnsi="Arial"/>
          <w:b w:val="true"/>
          <w:sz w:val="22"/>
        </w:rPr>
        <w:t>18商品偏离系数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必须被</w:t>
      </w:r>
      <w:r>
        <w:rPr>
          <w:rFonts w:eastAsia="等线" w:ascii="Arial" w:cs="Arial" w:hAnsi="Arial"/>
          <w:b w:val="true"/>
          <w:sz w:val="22"/>
        </w:rPr>
        <w:t>NAC公链共识层接受并执行</w:t>
      </w:r>
      <w:r>
        <w:rPr>
          <w:rFonts w:eastAsia="等线" w:ascii="Arial" w:cs="Arial" w:hAnsi="Arial"/>
          <w:sz w:val="22"/>
        </w:rPr>
        <w:t>，且</w:t>
      </w:r>
      <w:r>
        <w:rPr>
          <w:rFonts w:eastAsia="等线" w:ascii="Arial" w:cs="Arial" w:hAnsi="Arial"/>
          <w:b w:val="true"/>
          <w:sz w:val="22"/>
        </w:rPr>
        <w:t>不可被操纵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根本问题</w:t>
      </w:r>
      <w:r>
        <w:rPr>
          <w:rFonts w:eastAsia="等线" w:ascii="Arial" w:cs="Arial" w:hAnsi="Arial"/>
          <w:sz w:val="22"/>
        </w:rPr>
        <w:t>：AI模型是黑箱，公链如何信任链下推理的结果？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答案：</w:t>
      </w:r>
      <w:r>
        <w:rPr>
          <w:rFonts w:eastAsia="等线" w:ascii="Arial" w:cs="Arial" w:hAnsi="Arial"/>
          <w:b w:val="true"/>
          <w:sz w:val="22"/>
        </w:rPr>
        <w:t>NAC不信任AI，只信任“可验证的推理证明”</w:t>
      </w:r>
      <w:r>
        <w:rPr>
          <w:rFonts w:eastAsia="等线" w:ascii="Arial" w:cs="Arial" w:hAnsi="Arial"/>
          <w:sz w:val="22"/>
        </w:rPr>
        <w:t>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一、总体架构：四层分离</w:t>
      </w:r>
      <w:bookmarkEnd w:id="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┌─────────────────────────────────────────────────────────────┐</w:t>
              <w:br/>
              <w:t>│                   Layer 4: 应用层（DeFi/RWA）               │</w:t>
              <w:br/>
              <w:t>│         ACC-20铸造/赎回、借贷清算、黄金储备再平衡           │</w:t>
              <w:br/>
              <w:t>└─────────────────────────────────┬───────────────────────────┘</w:t>
              <w:br/>
              <w:t xml:space="preserve">                                  ↓ (调用XTZH汇率)</w:t>
              <w:br/>
              <w:t>┌─────────────────────────────────────────────────────────────┐</w:t>
              <w:br/>
              <w:t>│         Layer 3: 链上结算层（NAC共识节点 CBPP）            │</w:t>
              <w:br/>
              <w:t>│    • 验证XTZH汇率的“宪法收据”（CR）                        │</w:t>
              <w:br/>
              <w:t>│    • 将汇率写入系统状态树（System State Trie）            │</w:t>
              <w:br/>
              <w:t>│    • 分发至全节点（CSNP协议）                             │</w:t>
              <w:br/>
              <w:t>└─────────────────────────────────┬───────────────────────────┘</w:t>
              <w:br/>
              <w:t xml:space="preserve">                                  ↑ (提交收据)</w:t>
              <w:br/>
              <w:t>┌─────────────────────────────────────────────────────────────┐</w:t>
              <w:br/>
              <w:t>│      Layer 2: 可验证计算层（预言机网络 + 证明生成）        │</w:t>
              <w:br/>
              <w:t>│    • 分布式AI推理（3+独立节点）                           │</w:t>
              <w:br/>
              <w:t>│    • 生成零知识证明 / TEE远程认证                         │</w:t>
              <w:br/>
              <w:t>│    • 聚合为“宪法收据”（CR）                               │</w:t>
              <w:br/>
              <w:t>└─────────────────────────────────┬───────────────────────────┘</w:t>
              <w:br/>
              <w:t xml:space="preserve">                                  ↑ (原始数据)</w:t>
              <w:br/>
              <w:t>┌─────────────────────────────────────────────────────────────┐</w:t>
              <w:br/>
              <w:t>│       Layer 1: 数据输入层（宏观数据 + 资产价格）           │</w:t>
              <w:br/>
              <w:t>│    • IMF汇率、LBMA黄金、LME/CBOT商品价格                  │</w:t>
              <w:br/>
              <w:t>│    • 50维宏观特征（PMI、CPI、就业、SCFI…）               │</w:t>
              <w:br/>
              <w:t>│    • 多预言机聚合（Chainlink/NAC原生预言机）             │</w:t>
              <w:br/>
              <w:t>└────────</w:t>
            </w:r>
            <w:r>
              <w:rPr>
                <w:rFonts w:eastAsia="Consolas" w:ascii="Consolas" w:cs="Consolas" w:hAnsi="Consolas"/>
                <w:sz w:val="22"/>
              </w:rPr>
              <w:t>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设计哲学</w:t>
      </w:r>
      <w:r>
        <w:rPr>
          <w:rFonts w:eastAsia="等线" w:ascii="Arial" w:cs="Arial" w:hAnsi="Arial"/>
          <w:sz w:val="22"/>
        </w:rPr>
        <w:t>：</w:t>
        <w:br/>
      </w:r>
      <w:r>
        <w:rPr>
          <w:rFonts w:eastAsia="等线" w:ascii="Arial" w:cs="Arial" w:hAnsi="Arial"/>
          <w:sz w:val="22"/>
        </w:rPr>
        <w:t>AI模型的推理本身</w:t>
      </w:r>
      <w:r>
        <w:rPr>
          <w:rFonts w:eastAsia="等线" w:ascii="Arial" w:cs="Arial" w:hAnsi="Arial"/>
          <w:b w:val="true"/>
          <w:sz w:val="22"/>
        </w:rPr>
        <w:t>不在链上执行</w:t>
      </w:r>
      <w:r>
        <w:rPr>
          <w:rFonts w:eastAsia="等线" w:ascii="Arial" w:cs="Arial" w:hAnsi="Arial"/>
          <w:sz w:val="22"/>
        </w:rPr>
        <w:t>（Gas成本不可承受、模型隐私需保护），但推理结果的</w:t>
      </w:r>
      <w:r>
        <w:rPr>
          <w:rFonts w:eastAsia="等线" w:ascii="Arial" w:cs="Arial" w:hAnsi="Arial"/>
          <w:b w:val="true"/>
          <w:sz w:val="22"/>
        </w:rPr>
        <w:t>正确性与时效性</w:t>
      </w:r>
      <w:r>
        <w:rPr>
          <w:rFonts w:eastAsia="等线" w:ascii="Arial" w:cs="Arial" w:hAnsi="Arial"/>
          <w:sz w:val="22"/>
        </w:rPr>
        <w:t>通过密码学或硬件机制</w:t>
      </w:r>
      <w:r>
        <w:rPr>
          <w:rFonts w:eastAsia="等线" w:ascii="Arial" w:cs="Arial" w:hAnsi="Arial"/>
          <w:b w:val="true"/>
          <w:sz w:val="22"/>
        </w:rPr>
        <w:t>可被链上轻量化验证</w:t>
      </w:r>
      <w:r>
        <w:rPr>
          <w:rFonts w:eastAsia="等线" w:ascii="Arial" w:cs="Arial" w:hAnsi="Arial"/>
          <w:sz w:val="22"/>
        </w:rPr>
        <w:t>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二、技术实现组件</w:t>
      </w:r>
      <w:bookmarkEnd w:id="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2.1 预言机聚合层（Layer 1 → Layer 2）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目标</w:t>
      </w:r>
      <w:r>
        <w:rPr>
          <w:rFonts w:eastAsia="等线" w:ascii="Arial" w:cs="Arial" w:hAnsi="Arial"/>
          <w:sz w:val="22"/>
        </w:rPr>
        <w:t>：将50维宏观特征 + 18商品价格 + 6货币汇率的</w:t>
      </w:r>
      <w:r>
        <w:rPr>
          <w:rFonts w:eastAsia="等线" w:ascii="Arial" w:cs="Arial" w:hAnsi="Arial"/>
          <w:b w:val="true"/>
          <w:sz w:val="22"/>
        </w:rPr>
        <w:t>原始数据</w:t>
      </w:r>
      <w:r>
        <w:rPr>
          <w:rFonts w:eastAsia="等线" w:ascii="Arial" w:cs="Arial" w:hAnsi="Arial"/>
          <w:sz w:val="22"/>
        </w:rPr>
        <w:t>可信地喂给AI节点。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NAC原生方案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NAC预言机池（NAC Oracle Pool）</w:t>
      </w:r>
    </w:p>
    <w:p>
      <w:pPr>
        <w:numPr>
          <w:numId w:val="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由前30名CBP节点兼任预言机</w:t>
      </w:r>
    </w:p>
    <w:p>
      <w:pPr>
        <w:numPr>
          <w:numId w:val="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每个数据源至少3个独立节点采集</w:t>
      </w:r>
    </w:p>
    <w:p>
      <w:pPr>
        <w:numPr>
          <w:numId w:val="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聚合逻辑：取中位数（抗单点操纵）</w:t>
      </w:r>
    </w:p>
    <w:p>
      <w:pPr>
        <w:numPr>
          <w:numId w:val="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签名聚合：BLS门限签名，最终提交一个聚合签名上链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数据上链频率</w:t>
      </w:r>
    </w:p>
    <w:p>
      <w:pPr>
        <w:numPr>
          <w:numId w:val="1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IMF汇率、黄金、LME商品：</w:t>
      </w:r>
      <w:r>
        <w:rPr>
          <w:rFonts w:eastAsia="等线" w:ascii="Arial" w:cs="Arial" w:hAnsi="Arial"/>
          <w:b w:val="true"/>
          <w:sz w:val="22"/>
        </w:rPr>
        <w:t>每日1次</w:t>
      </w:r>
      <w:r>
        <w:rPr>
          <w:rFonts w:eastAsia="等线" w:ascii="Arial" w:cs="Arial" w:hAnsi="Arial"/>
          <w:sz w:val="22"/>
        </w:rPr>
        <w:t>（UTC 12:00快照）</w:t>
      </w:r>
    </w:p>
    <w:p>
      <w:pPr>
        <w:numPr>
          <w:numId w:val="1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宏观数据（PMI/CPI）：发布后立即推送给订阅节点</w:t>
      </w:r>
    </w:p>
    <w:p>
      <w:pPr>
        <w:numPr>
          <w:numId w:val="1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SCFI运价指数：每周五UTC 08:00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链上存证</w:t>
      </w:r>
    </w:p>
    <w:p>
      <w:pPr>
        <w:numPr>
          <w:numId w:val="1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每笔数据提交附带</w:t>
      </w:r>
      <w:r>
        <w:rPr>
          <w:rFonts w:eastAsia="等线" w:ascii="Arial" w:cs="Arial" w:hAnsi="Arial"/>
          <w:b w:val="true"/>
          <w:sz w:val="22"/>
        </w:rPr>
        <w:t>来源哈希</w:t>
      </w:r>
      <w:r>
        <w:rPr>
          <w:rFonts w:eastAsia="等线" w:ascii="Arial" w:cs="Arial" w:hAnsi="Arial"/>
          <w:sz w:val="22"/>
        </w:rPr>
        <w:t>与</w:t>
      </w:r>
      <w:r>
        <w:rPr>
          <w:rFonts w:eastAsia="等线" w:ascii="Arial" w:cs="Arial" w:hAnsi="Arial"/>
          <w:b w:val="true"/>
          <w:sz w:val="22"/>
        </w:rPr>
        <w:t>节点签名</w:t>
      </w:r>
    </w:p>
    <w:p>
      <w:pPr>
        <w:numPr>
          <w:numId w:val="1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存储于NAC链的</w:t>
      </w:r>
      <w:r>
        <w:rPr>
          <w:rFonts w:eastAsia="等线" w:ascii="Arial" w:cs="Arial" w:hAnsi="Arial"/>
          <w:b w:val="true"/>
          <w:sz w:val="22"/>
        </w:rPr>
        <w:t>系统数据收据区</w:t>
      </w:r>
      <w:r>
        <w:rPr>
          <w:rFonts w:eastAsia="等线" w:ascii="Arial" w:cs="Arial" w:hAnsi="Arial"/>
          <w:sz w:val="22"/>
        </w:rPr>
        <w:t>（System Data Receipts），不占用合约存储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2.2 可验证计算层（Layer 2）——</w:t>
      </w:r>
      <w:r>
        <w:rPr>
          <w:rFonts w:eastAsia="等线" w:ascii="Arial" w:cs="Arial" w:hAnsi="Arial"/>
          <w:b w:val="true"/>
          <w:sz w:val="32"/>
        </w:rPr>
        <w:t>技术核心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XTZH汇率的AI推理在</w:t>
      </w:r>
      <w:r>
        <w:rPr>
          <w:rFonts w:eastAsia="等线" w:ascii="Arial" w:cs="Arial" w:hAnsi="Arial"/>
          <w:b w:val="true"/>
          <w:sz w:val="22"/>
        </w:rPr>
        <w:t>3个或更多独立运行的“可信计算节点”</w:t>
      </w:r>
      <w:r>
        <w:rPr>
          <w:rFonts w:eastAsia="等线" w:ascii="Arial" w:cs="Arial" w:hAnsi="Arial"/>
          <w:sz w:val="22"/>
        </w:rPr>
        <w:t>中执行。节点类型可选以下三种技术路线之一，NAC主网初期采用</w:t>
      </w:r>
      <w:r>
        <w:rPr>
          <w:rFonts w:eastAsia="等线" w:ascii="Arial" w:cs="Arial" w:hAnsi="Arial"/>
          <w:b w:val="true"/>
          <w:sz w:val="22"/>
        </w:rPr>
        <w:t>混合模式</w:t>
      </w:r>
      <w:r>
        <w:rPr>
          <w:rFonts w:eastAsia="等线" w:ascii="Arial" w:cs="Arial" w:hAnsi="Arial"/>
          <w:sz w:val="22"/>
        </w:rPr>
        <w:t>：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方案A：零知识证明机器学习（zkML）——</w:t>
      </w:r>
      <w:r>
        <w:rPr>
          <w:rFonts w:eastAsia="等线" w:ascii="Arial" w:cs="Arial" w:hAnsi="Arial"/>
          <w:b w:val="true"/>
          <w:sz w:val="30"/>
        </w:rPr>
        <w:t>最高信任级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原理</w:t>
      </w:r>
      <w:r>
        <w:rPr>
          <w:rFonts w:eastAsia="等线" w:ascii="Arial" w:cs="Arial" w:hAnsi="Arial"/>
          <w:sz w:val="22"/>
        </w:rPr>
        <w:t>：将Transformer模型编译为</w:t>
      </w:r>
      <w:r>
        <w:rPr>
          <w:rFonts w:eastAsia="等线" w:ascii="Arial" w:cs="Arial" w:hAnsi="Arial"/>
          <w:b w:val="true"/>
          <w:sz w:val="22"/>
        </w:rPr>
        <w:t>算术电路</w:t>
      </w:r>
      <w:r>
        <w:rPr>
          <w:rFonts w:eastAsia="等线" w:ascii="Arial" w:cs="Arial" w:hAnsi="Arial"/>
          <w:sz w:val="22"/>
        </w:rPr>
        <w:t>，在zkVM（如Nexus zkVM）中执行推理，输出</w:t>
      </w:r>
      <w:r>
        <w:rPr>
          <w:rFonts w:eastAsia="等线" w:ascii="Arial" w:cs="Arial" w:hAnsi="Arial"/>
          <w:b w:val="true"/>
          <w:sz w:val="22"/>
        </w:rPr>
        <w:t>汇率 + ZK证明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成熟度</w:t>
      </w:r>
      <w:r>
        <w:rPr>
          <w:rFonts w:eastAsia="等线" w:ascii="Arial" w:cs="Arial" w:hAnsi="Arial"/>
          <w:sz w:val="22"/>
        </w:rPr>
        <w:t>：2026年已有生产级案例（Nexus zkMCP、Modulus Labs）。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NAC适配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使用</w:t>
      </w:r>
      <w:r>
        <w:rPr>
          <w:rFonts w:eastAsia="等线" w:ascii="Arial" w:cs="Arial" w:hAnsi="Arial"/>
          <w:b w:val="true"/>
          <w:sz w:val="22"/>
        </w:rPr>
        <w:t>Nexus zkVM</w:t>
      </w:r>
      <w:r>
        <w:rPr>
          <w:rFonts w:eastAsia="等线" w:ascii="Arial" w:cs="Arial" w:hAnsi="Arial"/>
          <w:sz w:val="22"/>
        </w:rPr>
        <w:t>或</w:t>
      </w:r>
      <w:r>
        <w:rPr>
          <w:rFonts w:eastAsia="等线" w:ascii="Arial" w:cs="Arial" w:hAnsi="Arial"/>
          <w:b w:val="true"/>
          <w:sz w:val="22"/>
        </w:rPr>
        <w:t>Cysic ZK</w:t>
      </w:r>
      <w:r>
        <w:rPr>
          <w:rFonts w:eastAsia="等线" w:ascii="Arial" w:cs="Arial" w:hAnsi="Arial"/>
          <w:sz w:val="22"/>
        </w:rPr>
        <w:t>证明系统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将XTZH汇率模型（4层Transformer + 注意力）编译为zk-circuit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单次推理证明生成时间：</w:t>
      </w:r>
      <w:r>
        <w:rPr>
          <w:rFonts w:eastAsia="等线" w:ascii="Arial" w:cs="Arial" w:hAnsi="Arial"/>
          <w:b w:val="true"/>
          <w:sz w:val="22"/>
        </w:rPr>
        <w:t>15-30秒</w:t>
      </w:r>
      <w:r>
        <w:rPr>
          <w:rFonts w:eastAsia="等线" w:ascii="Arial" w:cs="Arial" w:hAnsi="Arial"/>
          <w:sz w:val="22"/>
        </w:rPr>
        <w:t>（A100）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链上验证Gas成本：</w:t>
      </w:r>
      <w:r>
        <w:rPr>
          <w:rFonts w:eastAsia="等线" w:ascii="Arial" w:cs="Arial" w:hAnsi="Arial"/>
          <w:b w:val="true"/>
          <w:sz w:val="22"/>
        </w:rPr>
        <w:t>~200,000 NVM Gas</w:t>
      </w:r>
      <w:r>
        <w:rPr>
          <w:rFonts w:eastAsia="等线" w:ascii="Arial" w:cs="Arial" w:hAnsi="Arial"/>
          <w:sz w:val="22"/>
        </w:rPr>
        <w:t>（约0.002 USD）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优点</w:t>
      </w:r>
      <w:r>
        <w:rPr>
          <w:rFonts w:eastAsia="等线" w:ascii="Arial" w:cs="Arial" w:hAnsi="Arial"/>
          <w:sz w:val="22"/>
        </w:rPr>
        <w:t>：无需信任节点，数学绝对可验证。</w:t>
        <w:br/>
      </w:r>
      <w:r>
        <w:rPr>
          <w:rFonts w:eastAsia="等线" w:ascii="Arial" w:cs="Arial" w:hAnsi="Arial"/>
          <w:b w:val="true"/>
          <w:sz w:val="22"/>
        </w:rPr>
        <w:t>挑战</w:t>
      </w:r>
      <w:r>
        <w:rPr>
          <w:rFonts w:eastAsia="等线" w:ascii="Arial" w:cs="Arial" w:hAnsi="Arial"/>
          <w:sz w:val="22"/>
        </w:rPr>
        <w:t>：模型复杂度受限，当前仅支持亿级参数以下模型（XTZH模型参数量约200万，符合要求）。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方案B：可信执行环境（TEE）——</w:t>
      </w:r>
      <w:r>
        <w:rPr>
          <w:rFonts w:eastAsia="等线" w:ascii="Arial" w:cs="Arial" w:hAnsi="Arial"/>
          <w:b w:val="true"/>
          <w:sz w:val="30"/>
        </w:rPr>
        <w:t>高性能、低成本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原理</w:t>
      </w:r>
      <w:r>
        <w:rPr>
          <w:rFonts w:eastAsia="等线" w:ascii="Arial" w:cs="Arial" w:hAnsi="Arial"/>
          <w:sz w:val="22"/>
        </w:rPr>
        <w:t>：在NVIDIA H100/H200的</w:t>
      </w:r>
      <w:r>
        <w:rPr>
          <w:rFonts w:eastAsia="等线" w:ascii="Arial" w:cs="Arial" w:hAnsi="Arial"/>
          <w:b w:val="true"/>
          <w:sz w:val="22"/>
        </w:rPr>
        <w:t>机密计算模式</w:t>
      </w:r>
      <w:r>
        <w:rPr>
          <w:rFonts w:eastAsia="等线" w:ascii="Arial" w:cs="Arial" w:hAnsi="Arial"/>
          <w:sz w:val="22"/>
        </w:rPr>
        <w:t>下执行AI推理，生成硬件级</w:t>
      </w:r>
      <w:r>
        <w:rPr>
          <w:rFonts w:eastAsia="等线" w:ascii="Arial" w:cs="Arial" w:hAnsi="Arial"/>
          <w:b w:val="true"/>
          <w:sz w:val="22"/>
        </w:rPr>
        <w:t>远程认证报告（Remote Attestation）</w:t>
      </w:r>
      <w:r>
        <w:rPr>
          <w:rFonts w:eastAsia="等线" w:ascii="Arial" w:cs="Arial" w:hAnsi="Arial"/>
          <w:sz w:val="22"/>
        </w:rPr>
        <w:t>，证明代码未被篡改、运行环境安全。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NAC适配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预言机节点部署在</w:t>
      </w:r>
      <w:r>
        <w:rPr>
          <w:rFonts w:eastAsia="等线" w:ascii="Arial" w:cs="Arial" w:hAnsi="Arial"/>
          <w:b w:val="true"/>
          <w:sz w:val="22"/>
        </w:rPr>
        <w:t>支持TEE的GPU实例</w:t>
      </w:r>
      <w:r>
        <w:rPr>
          <w:rFonts w:eastAsia="等线" w:ascii="Arial" w:cs="Arial" w:hAnsi="Arial"/>
          <w:sz w:val="22"/>
        </w:rPr>
        <w:t>（AWS Nitro Enclaves + GPU）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推理结束后输出：`(汇率, 认证签名, 代码哈希, 输入哈希)`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链上仅验证认证签名的有效性（无需重跑模型）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优点</w:t>
      </w:r>
      <w:r>
        <w:rPr>
          <w:rFonts w:eastAsia="等线" w:ascii="Arial" w:cs="Arial" w:hAnsi="Arial"/>
          <w:sz w:val="22"/>
        </w:rPr>
        <w:t>：几乎无性能损耗，支持任意复杂模型。</w:t>
        <w:br/>
      </w:r>
      <w:r>
        <w:rPr>
          <w:rFonts w:eastAsia="等线" w:ascii="Arial" w:cs="Arial" w:hAnsi="Arial"/>
          <w:b w:val="true"/>
          <w:sz w:val="22"/>
        </w:rPr>
        <w:t>挑战</w:t>
      </w:r>
      <w:r>
        <w:rPr>
          <w:rFonts w:eastAsia="等线" w:ascii="Arial" w:cs="Arial" w:hAnsi="Arial"/>
          <w:sz w:val="22"/>
        </w:rPr>
        <w:t>：信任硬件厂商（NVIDIA/Intel）及NAC节点运营商的诚实性。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方案C：乐观验证（opML）——</w:t>
      </w:r>
      <w:r>
        <w:rPr>
          <w:rFonts w:eastAsia="等线" w:ascii="Arial" w:cs="Arial" w:hAnsi="Arial"/>
          <w:b w:val="true"/>
          <w:sz w:val="30"/>
        </w:rPr>
        <w:t>经济惩罚驱动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原理</w:t>
      </w:r>
      <w:r>
        <w:rPr>
          <w:rFonts w:eastAsia="等线" w:ascii="Arial" w:cs="Arial" w:hAnsi="Arial"/>
          <w:sz w:val="22"/>
        </w:rPr>
        <w:t>：单节点提交结果，其他节点可在挑战期内提交</w:t>
      </w:r>
      <w:r>
        <w:rPr>
          <w:rFonts w:eastAsia="等线" w:ascii="Arial" w:cs="Arial" w:hAnsi="Arial"/>
          <w:b w:val="true"/>
          <w:sz w:val="22"/>
        </w:rPr>
        <w:t>欺诈证明</w:t>
      </w:r>
      <w:r>
        <w:rPr>
          <w:rFonts w:eastAsia="等线" w:ascii="Arial" w:cs="Arial" w:hAnsi="Arial"/>
          <w:sz w:val="22"/>
        </w:rPr>
        <w:t>，若证明原结果错误，提交者被罚没质押金。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NAC适配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每个汇率轮次（每日）由</w:t>
      </w:r>
      <w:r>
        <w:rPr>
          <w:rFonts w:eastAsia="等线" w:ascii="Arial" w:cs="Arial" w:hAnsi="Arial"/>
          <w:b w:val="true"/>
          <w:sz w:val="22"/>
        </w:rPr>
        <w:t>轮值CBP节点</w:t>
      </w:r>
      <w:r>
        <w:rPr>
          <w:rFonts w:eastAsia="等线" w:ascii="Arial" w:cs="Arial" w:hAnsi="Arial"/>
          <w:sz w:val="22"/>
        </w:rPr>
        <w:t>执行推理并提交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挑战期：6小时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若无人挑战，结果最终确认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优点</w:t>
      </w:r>
      <w:r>
        <w:rPr>
          <w:rFonts w:eastAsia="等线" w:ascii="Arial" w:cs="Arial" w:hAnsi="Arial"/>
          <w:sz w:val="22"/>
        </w:rPr>
        <w:t>：几乎零链上验证成本，支持极高复杂度。</w:t>
        <w:br/>
      </w:r>
      <w:r>
        <w:rPr>
          <w:rFonts w:eastAsia="等线" w:ascii="Arial" w:cs="Arial" w:hAnsi="Arial"/>
          <w:b w:val="true"/>
          <w:sz w:val="22"/>
        </w:rPr>
        <w:t>挑战</w:t>
      </w:r>
      <w:r>
        <w:rPr>
          <w:rFonts w:eastAsia="等线" w:ascii="Arial" w:cs="Arial" w:hAnsi="Arial"/>
          <w:sz w:val="22"/>
        </w:rPr>
        <w:t>：需要流动性充足的质押池，挑战期内汇率存在“软最终性”。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NAC主网初始方案：</w:t>
      </w:r>
      <w:r>
        <w:rPr>
          <w:rFonts w:eastAsia="等线" w:ascii="Arial" w:cs="Arial" w:hAnsi="Arial"/>
          <w:b w:val="true"/>
          <w:sz w:val="30"/>
        </w:rPr>
        <w:t>混合三模冗余</w:t>
      </w:r>
      <w:bookmarkEnd w:id="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节点类型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数量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技术路线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权重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零知识节点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Nexus zkVM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40%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TEE节点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NVIDIA H100机密计算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40%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乐观节点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质押100万XIC，挑战期6h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20%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汇率聚合算法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所有节点独立运行相同模型（相同权重版本）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输出汇率后，</w:t>
      </w:r>
      <w:r>
        <w:rPr>
          <w:rFonts w:eastAsia="等线" w:ascii="Arial" w:cs="Arial" w:hAnsi="Arial"/>
          <w:b w:val="true"/>
          <w:sz w:val="22"/>
        </w:rPr>
        <w:t>剔除与中位数偏差&gt;0.3%的离群值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剩余有效输出的</w:t>
      </w:r>
      <w:r>
        <w:rPr>
          <w:rFonts w:eastAsia="等线" w:ascii="Arial" w:cs="Arial" w:hAnsi="Arial"/>
          <w:b w:val="true"/>
          <w:sz w:val="22"/>
        </w:rPr>
        <w:t>中位数</w:t>
      </w:r>
      <w:r>
        <w:rPr>
          <w:rFonts w:eastAsia="等线" w:ascii="Arial" w:cs="Arial" w:hAnsi="Arial"/>
          <w:sz w:val="22"/>
        </w:rPr>
        <w:t>作为最终XTZH汇率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打包为</w:t>
      </w:r>
      <w:r>
        <w:rPr>
          <w:rFonts w:eastAsia="等线" w:ascii="Arial" w:cs="Arial" w:hAnsi="Arial"/>
          <w:b w:val="true"/>
          <w:sz w:val="22"/>
        </w:rPr>
        <w:t>宪法收据（Constitutional Receipt）</w:t>
      </w:r>
      <w:r>
        <w:rPr>
          <w:rFonts w:eastAsia="等线" w:ascii="Arial" w:cs="Arial" w:hAnsi="Arial"/>
          <w:sz w:val="22"/>
        </w:rPr>
        <w:t>，提交至Layer 3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2.3 宪法收据（CR）数据结构</w:t>
      </w:r>
      <w:bookmarkEnd w:id="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rust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struct XTZHRateReceipt {</w:t>
              <w:br/>
              <w:t xml:space="preserve">    // 汇率核心数据</w:t>
              <w:br/>
              <w:t xml:space="preserve">    timestamp: u64,              // 数据时间戳 (UTC 12:00)</w:t>
              <w:br/>
              <w:t xml:space="preserve">    rate_sdr: u64,              // 1 XTZH = ? SDR (定点数, 1e6精度)</w:t>
              <w:br/>
              <w:t xml:space="preserve">    rate_usd: u64,             // 美元折算汇率</w:t>
              <w:br/>
              <w:t xml:space="preserve">    </w:t>
              <w:br/>
              <w:t xml:space="preserve">    // AI推理输出（供审计）</w:t>
              <w:br/>
              <w:t xml:space="preserve">    w_fx: u32,                // 货币层权重 (基点, 3800=38.0%)</w:t>
              <w:br/>
              <w:t xml:space="preserve">    w_au: u32,               // 黄金层权重</w:t>
              <w:br/>
              <w:t xml:space="preserve">    w_com: u32,             // 商品层权重</w:t>
              <w:br/>
              <w:t xml:space="preserve">    deltas: [i8; 18],       // 18商品偏离系数 (-30..+30)</w:t>
              <w:br/>
              <w:t xml:space="preserve">    </w:t>
              <w:br/>
              <w:t xml:space="preserve">    // 可验证计算证明</w:t>
              <w:br/>
              <w:t xml:space="preserve">    proof_type: u8,          // 0=ZK, 1=TEE, 2=Optimistic</w:t>
              <w:br/>
              <w:t xml:space="preserve">    proof_data: bytes,       // ZK proof / TEE quote / 空</w:t>
              <w:br/>
              <w:t xml:space="preserve">    </w:t>
              <w:br/>
              <w:t xml:space="preserve">    // 节点签名（聚合签名）</w:t>
              <w:br/>
              <w:t xml:space="preserve">    signatures: BLSSignature,</w:t>
              <w:br/>
              <w:t xml:space="preserve">    node_set: Bitmap,        // 参与签名的节点集合</w:t>
              <w:br/>
              <w:t xml:space="preserve">    </w:t>
              <w:br/>
              <w:t xml:space="preserve">    // 宪法合规</w:t>
              <w:br/>
              <w:t xml:space="preserve">    constitutional_hash: bytes32,  // 当前宪法版本哈希</w:t>
              <w:br/>
              <w:t xml:space="preserve">    clause_index: u16,            // 触发条款（固定值）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收据大小</w:t>
      </w:r>
      <w:r>
        <w:rPr>
          <w:rFonts w:eastAsia="等线" w:ascii="Arial" w:cs="Arial" w:hAnsi="Arial"/>
          <w:sz w:val="22"/>
        </w:rPr>
        <w:t>：约1.2KB（含ZK proof为~2KB），远低于NAC区块1MB上限。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2.4 链上执行与结算层（Layer 3）</w:t>
      </w:r>
      <w:bookmarkEnd w:id="10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2.4.1 系统级汇率合约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NAC主网在创世区块中部署</w:t>
      </w:r>
      <w:r>
        <w:rPr>
          <w:rFonts w:eastAsia="等线" w:ascii="Arial" w:cs="Arial" w:hAnsi="Arial"/>
          <w:b w:val="true"/>
          <w:sz w:val="22"/>
        </w:rPr>
        <w:t>系统级合约</w:t>
      </w:r>
      <w:r>
        <w:rPr>
          <w:rFonts w:eastAsia="等线" w:ascii="Arial" w:cs="Arial" w:hAnsi="Arial"/>
          <w:sz w:val="22"/>
        </w:rPr>
        <w:t xml:space="preserve"> `XTZHFeed`，具备以下权限/功能：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Charter语言编写，NVM 2.0原生指令支持</w:t>
              <w:br/>
              <w:t>contract XTZHFeed is SystemContract {</w:t>
              <w:br/>
              <w:t xml:space="preserve">    </w:t>
              <w:br/>
              <w:t xml:space="preserve">    // 当前有效汇率（每个纪元一个）</w:t>
              <w:br/>
              <w:t xml:space="preserve">    mapping(u64 =&gt; RateRecord) public rates;  // epoch -&gt; rate</w:t>
              <w:br/>
              <w:t xml:space="preserve">    </w:t>
              <w:br/>
              <w:t xml:space="preserve">    // 最近汇率（供其他合约实时调用）</w:t>
              <w:br/>
              <w:t xml:space="preserve">    RateRecord public latest;</w:t>
              <w:br/>
              <w:t xml:space="preserve">    </w:t>
              <w:br/>
              <w:t xml:space="preserve">    // 仅允许CBP节点通过CBPP共识提交收据</w:t>
              <w:br/>
              <w:t xml:space="preserve">    @Role("CBP")</w:t>
              <w:br/>
              <w:t xml:space="preserve">    @RequiresConstitutionalReceipt</w:t>
              <w:br/>
              <w:t xml:space="preserve">    func submitRate(receipt: XTZHRateReceipt) {</w:t>
              <w:br/>
              <w:t xml:space="preserve">        // 1. 验证收据签名（聚合签名验证，NVM指令0xD1）</w:t>
              <w:br/>
              <w:t xml:space="preserve">        require(bls_verify_aggregated(receipt.signatures, receipt.node_set));</w:t>
              <w:br/>
              <w:t xml:space="preserve">        </w:t>
              <w:br/>
              <w:t xml:space="preserve">        // 2. 验证宪法版本（当前激活版本）</w:t>
              <w:br/>
              <w:t xml:space="preserve">        require(receipt.constitutional_hash == constitutional.active_hash);</w:t>
              <w:br/>
              <w:t xml:space="preserve">        </w:t>
              <w:br/>
              <w:t xml:space="preserve">        // 3. 时间窗口检查（仅接受今日12:00±1h的收据）</w:t>
              <w:br/>
              <w:t xml:space="preserve">        require(abs(receipt.timestamp - get_today_noon()) &lt; 3600);</w:t>
              <w:br/>
              <w:t xml:space="preserve">        </w:t>
              <w:br/>
              <w:t xml:space="preserve">        // 4. 重复提交防范（每个纪元只接受第一个合法收据）</w:t>
              <w:br/>
              <w:t xml:space="preserve">        let epoch = receipt.timestamp / 86400;</w:t>
              <w:br/>
              <w:t xml:space="preserve">        require(rates[epoch].timestamp == 0);</w:t>
              <w:br/>
              <w:t xml:space="preserve">        </w:t>
              <w:br/>
              <w:t xml:space="preserve">        // 5. 存入状态树</w:t>
              <w:br/>
              <w:t xml:space="preserve">        rates[epoch] = RateRecord(</w:t>
              <w:br/>
              <w:t xml:space="preserve">            timestamp: receipt.timestamp,</w:t>
              <w:br/>
              <w:t xml:space="preserve">            rate_sdr: receipt.rate_sdr,</w:t>
              <w:br/>
              <w:t xml:space="preserve">            rate_usd: receipt.rate_usd</w:t>
              <w:br/>
              <w:t xml:space="preserve">        );</w:t>
              <w:br/>
              <w:t xml:space="preserve">        </w:t>
              <w:br/>
              <w:t xml:space="preserve">        // 6. 更新latest（供实时查询）</w:t>
              <w:br/>
              <w:t xml:space="preserve">        latest = rates[epoch];</w:t>
              <w:br/>
              <w:t xml:space="preserve">        </w:t>
              <w:br/>
              <w:t xml:space="preserve">        // 7. 触发事件（供链下服务监听）</w:t>
              <w:br/>
              <w:t xml:space="preserve">        emit RateUpdated(epoch, receipt.rate_sdr, receipt.rate_usd);</w:t>
              <w:br/>
              <w:t xml:space="preserve">    }</w:t>
              <w:br/>
              <w:t xml:space="preserve">    </w:t>
              <w:br/>
              <w:t xml:space="preserve">    // 其他合约调用的视图函数</w:t>
              <w:br/>
              <w:t xml:space="preserve">    func getCurrentRate() -&gt; (u64, u64) view {</w:t>
              <w:br/>
              <w:t xml:space="preserve">        return (latest.rate_sdr, latest.rate_usd);</w:t>
              <w:br/>
              <w:t xml:space="preserve">    }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关键设计</w:t>
      </w:r>
      <w:r>
        <w:rPr>
          <w:rFonts w:eastAsia="等线" w:ascii="Arial" w:cs="Arial" w:hAnsi="Arial"/>
          <w:sz w:val="22"/>
        </w:rPr>
        <w:t>：</w:t>
        <w:br/>
      </w:r>
      <w:r>
        <w:rPr>
          <w:rFonts w:eastAsia="等线" w:ascii="Arial" w:cs="Arial" w:hAnsi="Arial"/>
          <w:sz w:val="22"/>
        </w:rPr>
        <w:t>- 汇率写入是</w:t>
      </w:r>
      <w:r>
        <w:rPr>
          <w:rFonts w:eastAsia="等线" w:ascii="Arial" w:cs="Arial" w:hAnsi="Arial"/>
          <w:b w:val="true"/>
          <w:sz w:val="22"/>
        </w:rPr>
        <w:t>CBPP共识的一部分</w:t>
      </w:r>
      <w:r>
        <w:rPr>
          <w:rFonts w:eastAsia="等线" w:ascii="Arial" w:cs="Arial" w:hAnsi="Arial"/>
          <w:sz w:val="22"/>
        </w:rPr>
        <w:t>：只有携带有效“宪法收据”的交易才能被CBP节点打包。</w:t>
        <w:br/>
      </w:r>
      <w:r>
        <w:rPr>
          <w:rFonts w:eastAsia="等线" w:ascii="Arial" w:cs="Arial" w:hAnsi="Arial"/>
          <w:sz w:val="22"/>
        </w:rPr>
        <w:t>- 收据一旦上链，即为该纪元（每日）的</w:t>
      </w:r>
      <w:r>
        <w:rPr>
          <w:rFonts w:eastAsia="等线" w:ascii="Arial" w:cs="Arial" w:hAnsi="Arial"/>
          <w:b w:val="true"/>
          <w:sz w:val="22"/>
        </w:rPr>
        <w:t>法定汇率</w:t>
      </w:r>
      <w:r>
        <w:rPr>
          <w:rFonts w:eastAsia="等线" w:ascii="Arial" w:cs="Arial" w:hAnsi="Arial"/>
          <w:sz w:val="22"/>
        </w:rPr>
        <w:t>，所有ACC-20铸造/赎回、黄金储备再平衡均以此为准。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2" w:id="12"/>
      <w:r>
        <w:rPr>
          <w:rFonts w:eastAsia="等线" w:ascii="Arial" w:cs="Arial" w:hAnsi="Arial"/>
          <w:b w:val="true"/>
          <w:sz w:val="30"/>
        </w:rPr>
        <w:t>2.4.2 状态同步与访问</w:t>
      </w:r>
      <w:bookmarkEnd w:id="12"/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汇率数据存储于NAC链的</w:t>
      </w:r>
      <w:r>
        <w:rPr>
          <w:rFonts w:eastAsia="等线" w:ascii="Arial" w:cs="Arial" w:hAnsi="Arial"/>
          <w:b w:val="true"/>
          <w:sz w:val="22"/>
        </w:rPr>
        <w:t>系统状态树（System State Trie）</w:t>
      </w:r>
      <w:r>
        <w:rPr>
          <w:rFonts w:eastAsia="等线" w:ascii="Arial" w:cs="Arial" w:hAnsi="Arial"/>
          <w:sz w:val="22"/>
        </w:rPr>
        <w:t>，与账户余额、合约存储并列。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全节点通过CSNP网络协议实时同步汇率更新。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ACC-20合约通过</w:t>
      </w:r>
      <w:r>
        <w:rPr>
          <w:rFonts w:eastAsia="等线" w:ascii="Arial" w:cs="Arial" w:hAnsi="Arial"/>
          <w:b w:val="true"/>
          <w:sz w:val="22"/>
        </w:rPr>
        <w:t>跨合约调用</w:t>
      </w:r>
      <w:r>
        <w:rPr>
          <w:rFonts w:eastAsia="等线" w:ascii="Arial" w:cs="Arial" w:hAnsi="Arial"/>
          <w:sz w:val="22"/>
        </w:rPr>
        <w:t>读取`XTZHFeed.getCurrentRate()`，无需预言机再次查询。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性能指标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汇率收据上链至最终确认：</w:t>
      </w:r>
      <w:r>
        <w:rPr>
          <w:rFonts w:eastAsia="等线" w:ascii="Arial" w:cs="Arial" w:hAnsi="Arial"/>
          <w:b w:val="true"/>
          <w:sz w:val="22"/>
        </w:rPr>
        <w:t>3秒</w:t>
      </w:r>
      <w:r>
        <w:rPr>
          <w:rFonts w:eastAsia="等线" w:ascii="Arial" w:cs="Arial" w:hAnsi="Arial"/>
          <w:sz w:val="22"/>
        </w:rPr>
        <w:t>（NAC出块时间）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全节点同步延迟：</w:t>
      </w:r>
      <w:r>
        <w:rPr>
          <w:rFonts w:eastAsia="等线" w:ascii="Arial" w:cs="Arial" w:hAnsi="Arial"/>
          <w:b w:val="true"/>
          <w:sz w:val="22"/>
        </w:rPr>
        <w:t>&lt;100ms</w:t>
      </w:r>
      <w:r>
        <w:rPr>
          <w:rFonts w:eastAsia="等线" w:ascii="Arial" w:cs="Arial" w:hAnsi="Arial"/>
          <w:sz w:val="22"/>
        </w:rPr>
        <w:t>（CBP骨干网）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2.5 混合模式与降级机制</w:t>
      </w:r>
      <w:bookmarkEnd w:id="13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4" w:id="14"/>
      <w:r>
        <w:rPr>
          <w:rFonts w:eastAsia="等线" w:ascii="Arial" w:cs="Arial" w:hAnsi="Arial"/>
          <w:b w:val="true"/>
          <w:sz w:val="30"/>
        </w:rPr>
        <w:t>2.5.1 启动阶段（主网前6个月）</w:t>
      </w:r>
      <w:bookmarkEnd w:id="14"/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不依赖AI模型，采用</w:t>
      </w:r>
      <w:r>
        <w:rPr>
          <w:rFonts w:eastAsia="等线" w:ascii="Arial" w:cs="Arial" w:hAnsi="Arial"/>
          <w:b w:val="true"/>
          <w:sz w:val="22"/>
        </w:rPr>
        <w:t>静态权重锚定</w:t>
      </w:r>
      <w:r>
        <w:rPr>
          <w:rFonts w:eastAsia="等线" w:ascii="Arial" w:cs="Arial" w:hAnsi="Arial"/>
          <w:sz w:val="22"/>
        </w:rPr>
        <w:t>（货币40%/黄金10%/商品50%）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汇率计算公式硬编码在`XTZHFeed`合约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每日由治理委员会提交汇率（多签），作为“宪法收据”占位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目的</w:t>
      </w:r>
      <w:r>
        <w:rPr>
          <w:rFonts w:eastAsia="等线" w:ascii="Arial" w:cs="Arial" w:hAnsi="Arial"/>
          <w:sz w:val="22"/>
        </w:rPr>
        <w:t>：积累预言机网络稳定性，给AI模型训练与验证留出时间窗口。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5" w:id="15"/>
      <w:r>
        <w:rPr>
          <w:rFonts w:eastAsia="等线" w:ascii="Arial" w:cs="Arial" w:hAnsi="Arial"/>
          <w:b w:val="true"/>
          <w:sz w:val="30"/>
        </w:rPr>
        <w:t>2.5.2 并行运行期（主网6-12个月）</w:t>
      </w:r>
      <w:bookmarkEnd w:id="15"/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AI引擎</w:t>
      </w:r>
      <w:r>
        <w:rPr>
          <w:rFonts w:eastAsia="等线" w:ascii="Arial" w:cs="Arial" w:hAnsi="Arial"/>
          <w:b w:val="true"/>
          <w:sz w:val="22"/>
        </w:rPr>
        <w:t>影子运行</w:t>
      </w:r>
      <w:r>
        <w:rPr>
          <w:rFonts w:eastAsia="等线" w:ascii="Arial" w:cs="Arial" w:hAnsi="Arial"/>
          <w:sz w:val="22"/>
        </w:rPr>
        <w:t>，输出汇率但不用于实际结算</w:t>
      </w:r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每周对比AI汇率与静态汇率的偏差，向治理委员会提交性能报告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若连续4周宏观预测R² &gt; 0.65，启动“软切换”投票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6" w:id="16"/>
      <w:r>
        <w:rPr>
          <w:rFonts w:eastAsia="等线" w:ascii="Arial" w:cs="Arial" w:hAnsi="Arial"/>
          <w:b w:val="true"/>
          <w:sz w:val="30"/>
        </w:rPr>
        <w:t>2.5.3 完全生产期（主网12个月后）</w:t>
      </w:r>
      <w:bookmarkEnd w:id="16"/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AI引擎正式接管，静态权重作为</w:t>
      </w:r>
      <w:r>
        <w:rPr>
          <w:rFonts w:eastAsia="等线" w:ascii="Arial" w:cs="Arial" w:hAnsi="Arial"/>
          <w:b w:val="true"/>
          <w:sz w:val="22"/>
        </w:rPr>
        <w:t>紧急熔断回滚项</w:t>
      </w:r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当以下任一条件触发，自动回滚至静态权重，并触发治理警报：</w:t>
        <w:br/>
        <w:t xml:space="preserve">        </w:t>
      </w:r>
    </w:p>
    <w:p>
      <w:pPr>
        <w:numPr>
          <w:numId w:val="4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连续3小时无有效汇率收提交（预言机网络故障）</w:t>
      </w:r>
    </w:p>
    <w:p>
      <w:pPr>
        <w:numPr>
          <w:numId w:val="4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ZK证明验证失败率 &gt; 5%（密码学库漏洞）</w:t>
      </w:r>
    </w:p>
    <w:p>
      <w:pPr>
        <w:numPr>
          <w:numId w:val="4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AI汇率与静态汇率偏离 &gt; ±15% 且持续24小时（模型漂移）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7" w:id="17"/>
      <w:r>
        <w:rPr>
          <w:rFonts w:eastAsia="等线" w:ascii="Arial" w:cs="Arial" w:hAnsi="Arial"/>
          <w:b w:val="true"/>
          <w:sz w:val="36"/>
        </w:rPr>
        <w:t>三、与其他公链的技术对比</w:t>
      </w:r>
      <w:bookmarkEnd w:id="1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维度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Ethereum (Chainlink)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NAC原生方案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优势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数据源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第三方预言机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共识节点兼任预言机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减少信任层级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AI推理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链下黑箱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可验证计算（ZK/TEE）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可审计、可证明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上链成本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高（L1存储贵）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系统状态树专用存储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成本降低90%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最终性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依赖区块确认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CBPP共识内建收据验证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原子化、不可绕过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降级机制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手动切换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宪法级自动熔断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抗风险能力更强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8" w:id="18"/>
      <w:r>
        <w:rPr>
          <w:rFonts w:eastAsia="等线" w:ascii="Arial" w:cs="Arial" w:hAnsi="Arial"/>
          <w:b w:val="true"/>
          <w:sz w:val="36"/>
        </w:rPr>
        <w:t>四、实施路线图</w:t>
      </w:r>
      <w:bookmarkEnd w:id="1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阶段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时间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核心交付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0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 Q2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预言机池部署，静态权重汇率上</w:t>
            </w:r>
            <w:r>
              <w:rPr>
                <w:rFonts w:eastAsia="等线" w:ascii="Arial" w:cs="Arial" w:hAnsi="Arial"/>
                <w:sz w:val="22"/>
              </w:rPr>
              <w:t>链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</w:t>
            </w:r>
            <w:r>
              <w:rPr>
                <w:rFonts w:eastAsia="等线" w:ascii="Arial" w:cs="Arial" w:hAnsi="Arial"/>
                <w:sz w:val="22"/>
              </w:rPr>
              <w:t xml:space="preserve"> 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 Q3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TEE</w:t>
            </w:r>
            <w:r>
              <w:rPr>
                <w:rFonts w:eastAsia="等线" w:ascii="Arial" w:cs="Arial" w:hAnsi="Arial"/>
                <w:sz w:val="22"/>
              </w:rPr>
              <w:t>节点测试网运行，远程认证验证合约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 Q4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zkML电路开发，N</w:t>
            </w:r>
            <w:r>
              <w:rPr>
                <w:rFonts w:eastAsia="等线" w:ascii="Arial" w:cs="Arial" w:hAnsi="Arial"/>
                <w:sz w:val="22"/>
              </w:rPr>
              <w:t>exus zkVM适配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2027 Q1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混合三模冗余测试网，挑战期机制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4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2027 Q2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主网</w:t>
            </w:r>
            <w:r>
              <w:rPr>
                <w:rFonts w:eastAsia="等线" w:ascii="Arial" w:cs="Arial" w:hAnsi="Arial"/>
                <w:sz w:val="22"/>
              </w:rPr>
              <w:t>AI汇率正式激活，宪法收据强制化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9" w:id="19"/>
      <w:r>
        <w:rPr>
          <w:rFonts w:eastAsia="等线" w:ascii="Arial" w:cs="Arial" w:hAnsi="Arial"/>
          <w:b w:val="true"/>
          <w:sz w:val="36"/>
        </w:rPr>
        <w:t>五、总结：从“算法”到“共识”</w:t>
      </w:r>
      <w:bookmarkEnd w:id="1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将AI产生的XTZH汇率映射到NAC公链并得到执行，本质上是</w:t>
      </w:r>
      <w:r>
        <w:rPr>
          <w:rFonts w:eastAsia="等线" w:ascii="Arial" w:cs="Arial" w:hAnsi="Arial"/>
          <w:b w:val="true"/>
          <w:sz w:val="22"/>
        </w:rPr>
        <w:t>将统计学习模型转化为共识层可接受的规则系统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我们不做“链上AI训练”这种华而不实的事情。我们做的是：</w:t>
      </w:r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链下推理</w:t>
      </w:r>
      <w:r>
        <w:rPr>
          <w:rFonts w:eastAsia="等线" w:ascii="Arial" w:cs="Arial" w:hAnsi="Arial"/>
          <w:sz w:val="22"/>
        </w:rPr>
        <w:t>——充分利用GPU算力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可验证证明</w:t>
      </w:r>
      <w:r>
        <w:rPr>
          <w:rFonts w:eastAsia="等线" w:ascii="Arial" w:cs="Arial" w:hAnsi="Arial"/>
          <w:sz w:val="22"/>
        </w:rPr>
        <w:t>——通过ZK/TEE将黑箱变成白箱</w:t>
      </w:r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宪法收据</w:t>
      </w:r>
      <w:r>
        <w:rPr>
          <w:rFonts w:eastAsia="等线" w:ascii="Arial" w:cs="Arial" w:hAnsi="Arial"/>
          <w:sz w:val="22"/>
        </w:rPr>
        <w:t>——将证明结果封装为CBPP共识的原生输入</w:t>
      </w:r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状态写入</w:t>
      </w:r>
      <w:r>
        <w:rPr>
          <w:rFonts w:eastAsia="等线" w:ascii="Arial" w:cs="Arial" w:hAnsi="Arial"/>
          <w:sz w:val="22"/>
        </w:rPr>
        <w:t>——汇率成为NAC系统状态树的一等公民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这套架构不需要改造NAC的共识内核（CBPP本身已支持“任意收据验证”），也不需要NVM支持张量计算（推理仍在链下）。它只是在NAC预留的</w:t>
      </w:r>
      <w:r>
        <w:rPr>
          <w:rFonts w:eastAsia="等线" w:ascii="Arial" w:cs="Arial" w:hAnsi="Arial"/>
          <w:b w:val="true"/>
          <w:sz w:val="22"/>
        </w:rPr>
        <w:t>宪法执行引擎（CEE）</w:t>
      </w:r>
      <w:r>
        <w:rPr>
          <w:rFonts w:eastAsia="等线" w:ascii="Arial" w:cs="Arial" w:hAnsi="Arial"/>
          <w:sz w:val="22"/>
        </w:rPr>
        <w:t>插槽中，插入了一个专门用于XTZH汇率的“AI法官”。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XTZH的汇率从此不再是某个中心化服务器的报价，而是NAC公链全体共识节点共同见证、可验证、不可篡改的系统常数。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411418">
    <w:lvl>
      <w:numFmt w:val="bullet"/>
      <w:suff w:val="tab"/>
      <w:lvlText w:val="•"/>
      <w:rPr>
        <w:color w:val="3370ff"/>
      </w:rPr>
    </w:lvl>
  </w:abstractNum>
  <w:abstractNum w:abstractNumId="2411419">
    <w:lvl>
      <w:numFmt w:val="bullet"/>
      <w:suff w:val="tab"/>
      <w:lvlText w:val="•"/>
      <w:rPr>
        <w:color w:val="3370ff"/>
      </w:rPr>
    </w:lvl>
  </w:abstractNum>
  <w:abstractNum w:abstractNumId="2411420">
    <w:lvl>
      <w:numFmt w:val="bullet"/>
      <w:suff w:val="tab"/>
      <w:lvlText w:val="•"/>
      <w:rPr>
        <w:color w:val="3370ff"/>
      </w:rPr>
    </w:lvl>
  </w:abstractNum>
  <w:abstractNum w:abstractNumId="2411421">
    <w:lvl>
      <w:start w:val="1"/>
      <w:numFmt w:val="decimal"/>
      <w:suff w:val="tab"/>
      <w:lvlText w:val="%1."/>
      <w:rPr>
        <w:color w:val="3370ff"/>
      </w:rPr>
    </w:lvl>
  </w:abstractNum>
  <w:abstractNum w:abstractNumId="2411422">
    <w:lvl>
      <w:numFmt w:val="bullet"/>
      <w:suff w:val="tab"/>
      <w:lvlText w:val="￮"/>
      <w:rPr>
        <w:color w:val="3370ff"/>
      </w:rPr>
    </w:lvl>
  </w:abstractNum>
  <w:abstractNum w:abstractNumId="2411423">
    <w:lvl>
      <w:numFmt w:val="bullet"/>
      <w:suff w:val="tab"/>
      <w:lvlText w:val="￮"/>
      <w:rPr>
        <w:color w:val="3370ff"/>
      </w:rPr>
    </w:lvl>
  </w:abstractNum>
  <w:abstractNum w:abstractNumId="2411424">
    <w:lvl>
      <w:numFmt w:val="bullet"/>
      <w:suff w:val="tab"/>
      <w:lvlText w:val="￮"/>
      <w:rPr>
        <w:color w:val="3370ff"/>
      </w:rPr>
    </w:lvl>
  </w:abstractNum>
  <w:abstractNum w:abstractNumId="2411425">
    <w:lvl>
      <w:numFmt w:val="bullet"/>
      <w:suff w:val="tab"/>
      <w:lvlText w:val="￮"/>
      <w:rPr>
        <w:color w:val="3370ff"/>
      </w:rPr>
    </w:lvl>
  </w:abstractNum>
  <w:abstractNum w:abstractNumId="2411426">
    <w:lvl>
      <w:start w:val="2"/>
      <w:numFmt w:val="decimal"/>
      <w:suff w:val="tab"/>
      <w:lvlText w:val="%1."/>
      <w:rPr>
        <w:color w:val="3370ff"/>
      </w:rPr>
    </w:lvl>
  </w:abstractNum>
  <w:abstractNum w:abstractNumId="2411427">
    <w:lvl>
      <w:numFmt w:val="bullet"/>
      <w:suff w:val="tab"/>
      <w:lvlText w:val="￮"/>
      <w:rPr>
        <w:color w:val="3370ff"/>
      </w:rPr>
    </w:lvl>
  </w:abstractNum>
  <w:abstractNum w:abstractNumId="2411428">
    <w:lvl>
      <w:numFmt w:val="bullet"/>
      <w:suff w:val="tab"/>
      <w:lvlText w:val="￮"/>
      <w:rPr>
        <w:color w:val="3370ff"/>
      </w:rPr>
    </w:lvl>
  </w:abstractNum>
  <w:abstractNum w:abstractNumId="2411429">
    <w:lvl>
      <w:numFmt w:val="bullet"/>
      <w:suff w:val="tab"/>
      <w:lvlText w:val="￮"/>
      <w:rPr>
        <w:color w:val="3370ff"/>
      </w:rPr>
    </w:lvl>
  </w:abstractNum>
  <w:abstractNum w:abstractNumId="2411430">
    <w:lvl>
      <w:start w:val="3"/>
      <w:numFmt w:val="decimal"/>
      <w:suff w:val="tab"/>
      <w:lvlText w:val="%1."/>
      <w:rPr>
        <w:color w:val="3370ff"/>
      </w:rPr>
    </w:lvl>
  </w:abstractNum>
  <w:abstractNum w:abstractNumId="2411431">
    <w:lvl>
      <w:numFmt w:val="bullet"/>
      <w:suff w:val="tab"/>
      <w:lvlText w:val="￮"/>
      <w:rPr>
        <w:color w:val="3370ff"/>
      </w:rPr>
    </w:lvl>
  </w:abstractNum>
  <w:abstractNum w:abstractNumId="2411432">
    <w:lvl>
      <w:numFmt w:val="bullet"/>
      <w:suff w:val="tab"/>
      <w:lvlText w:val="￮"/>
      <w:rPr>
        <w:color w:val="3370ff"/>
      </w:rPr>
    </w:lvl>
  </w:abstractNum>
  <w:abstractNum w:abstractNumId="2411433">
    <w:lvl>
      <w:numFmt w:val="bullet"/>
      <w:suff w:val="tab"/>
      <w:lvlText w:val="•"/>
      <w:rPr>
        <w:color w:val="3370ff"/>
      </w:rPr>
    </w:lvl>
  </w:abstractNum>
  <w:abstractNum w:abstractNumId="2411434">
    <w:lvl>
      <w:numFmt w:val="bullet"/>
      <w:suff w:val="tab"/>
      <w:lvlText w:val="•"/>
      <w:rPr>
        <w:color w:val="3370ff"/>
      </w:rPr>
    </w:lvl>
  </w:abstractNum>
  <w:abstractNum w:abstractNumId="2411435">
    <w:lvl>
      <w:numFmt w:val="bullet"/>
      <w:suff w:val="tab"/>
      <w:lvlText w:val="•"/>
      <w:rPr>
        <w:color w:val="3370ff"/>
      </w:rPr>
    </w:lvl>
  </w:abstractNum>
  <w:abstractNum w:abstractNumId="2411436">
    <w:lvl>
      <w:numFmt w:val="bullet"/>
      <w:suff w:val="tab"/>
      <w:lvlText w:val="•"/>
      <w:rPr>
        <w:color w:val="3370ff"/>
      </w:rPr>
    </w:lvl>
  </w:abstractNum>
  <w:abstractNum w:abstractNumId="2411437">
    <w:lvl>
      <w:numFmt w:val="bullet"/>
      <w:suff w:val="tab"/>
      <w:lvlText w:val="•"/>
      <w:rPr>
        <w:color w:val="3370ff"/>
      </w:rPr>
    </w:lvl>
  </w:abstractNum>
  <w:abstractNum w:abstractNumId="2411438">
    <w:lvl>
      <w:numFmt w:val="bullet"/>
      <w:suff w:val="tab"/>
      <w:lvlText w:val="•"/>
      <w:rPr>
        <w:color w:val="3370ff"/>
      </w:rPr>
    </w:lvl>
  </w:abstractNum>
  <w:abstractNum w:abstractNumId="2411439">
    <w:lvl>
      <w:numFmt w:val="bullet"/>
      <w:suff w:val="tab"/>
      <w:lvlText w:val="•"/>
      <w:rPr>
        <w:color w:val="3370ff"/>
      </w:rPr>
    </w:lvl>
  </w:abstractNum>
  <w:abstractNum w:abstractNumId="2411440">
    <w:lvl>
      <w:numFmt w:val="bullet"/>
      <w:suff w:val="tab"/>
      <w:lvlText w:val="•"/>
      <w:rPr>
        <w:color w:val="3370ff"/>
      </w:rPr>
    </w:lvl>
  </w:abstractNum>
  <w:abstractNum w:abstractNumId="2411441">
    <w:lvl>
      <w:numFmt w:val="bullet"/>
      <w:suff w:val="tab"/>
      <w:lvlText w:val="•"/>
      <w:rPr>
        <w:color w:val="3370ff"/>
      </w:rPr>
    </w:lvl>
  </w:abstractNum>
  <w:abstractNum w:abstractNumId="2411442">
    <w:lvl>
      <w:numFmt w:val="bullet"/>
      <w:suff w:val="tab"/>
      <w:lvlText w:val="•"/>
      <w:rPr>
        <w:color w:val="3370ff"/>
      </w:rPr>
    </w:lvl>
  </w:abstractNum>
  <w:abstractNum w:abstractNumId="2411443">
    <w:lvl>
      <w:start w:val="1"/>
      <w:numFmt w:val="decimal"/>
      <w:suff w:val="tab"/>
      <w:lvlText w:val="%1."/>
      <w:rPr>
        <w:color w:val="3370ff"/>
      </w:rPr>
    </w:lvl>
  </w:abstractNum>
  <w:abstractNum w:abstractNumId="2411444">
    <w:lvl>
      <w:start w:val="2"/>
      <w:numFmt w:val="decimal"/>
      <w:suff w:val="tab"/>
      <w:lvlText w:val="%1."/>
      <w:rPr>
        <w:color w:val="3370ff"/>
      </w:rPr>
    </w:lvl>
  </w:abstractNum>
  <w:abstractNum w:abstractNumId="2411445">
    <w:lvl>
      <w:start w:val="3"/>
      <w:numFmt w:val="decimal"/>
      <w:suff w:val="tab"/>
      <w:lvlText w:val="%1."/>
      <w:rPr>
        <w:color w:val="3370ff"/>
      </w:rPr>
    </w:lvl>
  </w:abstractNum>
  <w:abstractNum w:abstractNumId="2411446">
    <w:lvl>
      <w:start w:val="4"/>
      <w:numFmt w:val="decimal"/>
      <w:suff w:val="tab"/>
      <w:lvlText w:val="%1."/>
      <w:rPr>
        <w:color w:val="3370ff"/>
      </w:rPr>
    </w:lvl>
  </w:abstractNum>
  <w:abstractNum w:abstractNumId="2411447">
    <w:lvl>
      <w:numFmt w:val="bullet"/>
      <w:suff w:val="tab"/>
      <w:lvlText w:val="•"/>
      <w:rPr>
        <w:color w:val="3370ff"/>
      </w:rPr>
    </w:lvl>
  </w:abstractNum>
  <w:abstractNum w:abstractNumId="2411448">
    <w:lvl>
      <w:numFmt w:val="bullet"/>
      <w:suff w:val="tab"/>
      <w:lvlText w:val="•"/>
      <w:rPr>
        <w:color w:val="3370ff"/>
      </w:rPr>
    </w:lvl>
  </w:abstractNum>
  <w:abstractNum w:abstractNumId="2411449">
    <w:lvl>
      <w:numFmt w:val="bullet"/>
      <w:suff w:val="tab"/>
      <w:lvlText w:val="•"/>
      <w:rPr>
        <w:color w:val="3370ff"/>
      </w:rPr>
    </w:lvl>
  </w:abstractNum>
  <w:abstractNum w:abstractNumId="2411450">
    <w:lvl>
      <w:numFmt w:val="bullet"/>
      <w:suff w:val="tab"/>
      <w:lvlText w:val="•"/>
      <w:rPr>
        <w:color w:val="3370ff"/>
      </w:rPr>
    </w:lvl>
  </w:abstractNum>
  <w:abstractNum w:abstractNumId="2411451">
    <w:lvl>
      <w:numFmt w:val="bullet"/>
      <w:suff w:val="tab"/>
      <w:lvlText w:val="•"/>
      <w:rPr>
        <w:color w:val="3370ff"/>
      </w:rPr>
    </w:lvl>
  </w:abstractNum>
  <w:abstractNum w:abstractNumId="2411452">
    <w:lvl>
      <w:numFmt w:val="bullet"/>
      <w:suff w:val="tab"/>
      <w:lvlText w:val="•"/>
      <w:rPr>
        <w:color w:val="3370ff"/>
      </w:rPr>
    </w:lvl>
  </w:abstractNum>
  <w:abstractNum w:abstractNumId="2411453">
    <w:lvl>
      <w:numFmt w:val="bullet"/>
      <w:suff w:val="tab"/>
      <w:lvlText w:val="•"/>
      <w:rPr>
        <w:color w:val="3370ff"/>
      </w:rPr>
    </w:lvl>
  </w:abstractNum>
  <w:abstractNum w:abstractNumId="2411454">
    <w:lvl>
      <w:numFmt w:val="bullet"/>
      <w:suff w:val="tab"/>
      <w:lvlText w:val="•"/>
      <w:rPr>
        <w:color w:val="3370ff"/>
      </w:rPr>
    </w:lvl>
  </w:abstractNum>
  <w:abstractNum w:abstractNumId="2411455">
    <w:lvl>
      <w:numFmt w:val="bullet"/>
      <w:suff w:val="tab"/>
      <w:lvlText w:val="•"/>
      <w:rPr>
        <w:color w:val="3370ff"/>
      </w:rPr>
    </w:lvl>
  </w:abstractNum>
  <w:abstractNum w:abstractNumId="2411456">
    <w:lvl>
      <w:numFmt w:val="bullet"/>
      <w:suff w:val="tab"/>
      <w:lvlText w:val="•"/>
      <w:rPr>
        <w:color w:val="3370ff"/>
      </w:rPr>
    </w:lvl>
  </w:abstractNum>
  <w:abstractNum w:abstractNumId="2411457">
    <w:lvl>
      <w:numFmt w:val="bullet"/>
      <w:suff w:val="tab"/>
      <w:lvlText w:val="•"/>
      <w:rPr>
        <w:color w:val="3370ff"/>
      </w:rPr>
    </w:lvl>
  </w:abstractNum>
  <w:abstractNum w:abstractNumId="2411458">
    <w:lvl>
      <w:numFmt w:val="bullet"/>
      <w:suff w:val="tab"/>
      <w:lvlText w:val="•"/>
      <w:rPr>
        <w:color w:val="3370ff"/>
      </w:rPr>
    </w:lvl>
  </w:abstractNum>
  <w:abstractNum w:abstractNumId="2411459">
    <w:lvl>
      <w:numFmt w:val="bullet"/>
      <w:suff w:val="tab"/>
      <w:lvlText w:val="•"/>
      <w:rPr>
        <w:color w:val="3370ff"/>
      </w:rPr>
    </w:lvl>
  </w:abstractNum>
  <w:abstractNum w:abstractNumId="2411460">
    <w:lvl>
      <w:start w:val="1"/>
      <w:numFmt w:val="lowerLetter"/>
      <w:suff w:val="tab"/>
      <w:lvlText w:val="%1."/>
      <w:rPr>
        <w:color w:val="3370ff"/>
      </w:rPr>
    </w:lvl>
  </w:abstractNum>
  <w:abstractNum w:abstractNumId="2411461">
    <w:lvl>
      <w:start w:val="2"/>
      <w:numFmt w:val="lowerLetter"/>
      <w:suff w:val="tab"/>
      <w:lvlText w:val="%1."/>
      <w:rPr>
        <w:color w:val="3370ff"/>
      </w:rPr>
    </w:lvl>
  </w:abstractNum>
  <w:abstractNum w:abstractNumId="2411462">
    <w:lvl>
      <w:start w:val="3"/>
      <w:numFmt w:val="lowerLetter"/>
      <w:suff w:val="tab"/>
      <w:lvlText w:val="%1."/>
      <w:rPr>
        <w:color w:val="3370ff"/>
      </w:rPr>
    </w:lvl>
  </w:abstractNum>
  <w:abstractNum w:abstractNumId="2411463">
    <w:lvl>
      <w:start w:val="1"/>
      <w:numFmt w:val="decimal"/>
      <w:suff w:val="tab"/>
      <w:lvlText w:val="%1."/>
      <w:rPr>
        <w:color w:val="3370ff"/>
      </w:rPr>
    </w:lvl>
  </w:abstractNum>
  <w:abstractNum w:abstractNumId="2411464">
    <w:lvl>
      <w:start w:val="2"/>
      <w:numFmt w:val="decimal"/>
      <w:suff w:val="tab"/>
      <w:lvlText w:val="%1."/>
      <w:rPr>
        <w:color w:val="3370ff"/>
      </w:rPr>
    </w:lvl>
  </w:abstractNum>
  <w:abstractNum w:abstractNumId="2411465">
    <w:lvl>
      <w:start w:val="3"/>
      <w:numFmt w:val="decimal"/>
      <w:suff w:val="tab"/>
      <w:lvlText w:val="%1."/>
      <w:rPr>
        <w:color w:val="3370ff"/>
      </w:rPr>
    </w:lvl>
  </w:abstractNum>
  <w:abstractNum w:abstractNumId="2411466">
    <w:lvl>
      <w:start w:val="4"/>
      <w:numFmt w:val="decimal"/>
      <w:suff w:val="tab"/>
      <w:lvlText w:val="%1."/>
      <w:rPr>
        <w:color w:val="3370ff"/>
      </w:rPr>
    </w:lvl>
  </w:abstractNum>
  <w:num w:numId="1">
    <w:abstractNumId w:val="2411418"/>
  </w:num>
  <w:num w:numId="2">
    <w:abstractNumId w:val="2411419"/>
  </w:num>
  <w:num w:numId="3">
    <w:abstractNumId w:val="2411420"/>
  </w:num>
  <w:num w:numId="4">
    <w:abstractNumId w:val="2411421"/>
  </w:num>
  <w:num w:numId="5">
    <w:abstractNumId w:val="2411422"/>
  </w:num>
  <w:num w:numId="6">
    <w:abstractNumId w:val="2411423"/>
  </w:num>
  <w:num w:numId="7">
    <w:abstractNumId w:val="2411424"/>
  </w:num>
  <w:num w:numId="8">
    <w:abstractNumId w:val="2411425"/>
  </w:num>
  <w:num w:numId="9">
    <w:abstractNumId w:val="2411426"/>
  </w:num>
  <w:num w:numId="10">
    <w:abstractNumId w:val="2411427"/>
  </w:num>
  <w:num w:numId="11">
    <w:abstractNumId w:val="2411428"/>
  </w:num>
  <w:num w:numId="12">
    <w:abstractNumId w:val="2411429"/>
  </w:num>
  <w:num w:numId="13">
    <w:abstractNumId w:val="2411430"/>
  </w:num>
  <w:num w:numId="14">
    <w:abstractNumId w:val="2411431"/>
  </w:num>
  <w:num w:numId="15">
    <w:abstractNumId w:val="2411432"/>
  </w:num>
  <w:num w:numId="16">
    <w:abstractNumId w:val="2411433"/>
  </w:num>
  <w:num w:numId="17">
    <w:abstractNumId w:val="2411434"/>
  </w:num>
  <w:num w:numId="18">
    <w:abstractNumId w:val="2411435"/>
  </w:num>
  <w:num w:numId="19">
    <w:abstractNumId w:val="2411436"/>
  </w:num>
  <w:num w:numId="20">
    <w:abstractNumId w:val="2411437"/>
  </w:num>
  <w:num w:numId="21">
    <w:abstractNumId w:val="2411438"/>
  </w:num>
  <w:num w:numId="22">
    <w:abstractNumId w:val="2411439"/>
  </w:num>
  <w:num w:numId="23">
    <w:abstractNumId w:val="2411440"/>
  </w:num>
  <w:num w:numId="24">
    <w:abstractNumId w:val="2411441"/>
  </w:num>
  <w:num w:numId="25">
    <w:abstractNumId w:val="2411442"/>
  </w:num>
  <w:num w:numId="26">
    <w:abstractNumId w:val="2411443"/>
  </w:num>
  <w:num w:numId="27">
    <w:abstractNumId w:val="2411444"/>
  </w:num>
  <w:num w:numId="28">
    <w:abstractNumId w:val="2411445"/>
  </w:num>
  <w:num w:numId="29">
    <w:abstractNumId w:val="2411446"/>
  </w:num>
  <w:num w:numId="30">
    <w:abstractNumId w:val="2411447"/>
  </w:num>
  <w:num w:numId="31">
    <w:abstractNumId w:val="2411448"/>
  </w:num>
  <w:num w:numId="32">
    <w:abstractNumId w:val="2411449"/>
  </w:num>
  <w:num w:numId="33">
    <w:abstractNumId w:val="2411450"/>
  </w:num>
  <w:num w:numId="34">
    <w:abstractNumId w:val="2411451"/>
  </w:num>
  <w:num w:numId="35">
    <w:abstractNumId w:val="2411452"/>
  </w:num>
  <w:num w:numId="36">
    <w:abstractNumId w:val="2411453"/>
  </w:num>
  <w:num w:numId="37">
    <w:abstractNumId w:val="2411454"/>
  </w:num>
  <w:num w:numId="38">
    <w:abstractNumId w:val="2411455"/>
  </w:num>
  <w:num w:numId="39">
    <w:abstractNumId w:val="2411456"/>
  </w:num>
  <w:num w:numId="40">
    <w:abstractNumId w:val="2411457"/>
  </w:num>
  <w:num w:numId="41">
    <w:abstractNumId w:val="2411458"/>
  </w:num>
  <w:num w:numId="42">
    <w:abstractNumId w:val="2411459"/>
  </w:num>
  <w:num w:numId="43">
    <w:abstractNumId w:val="2411460"/>
  </w:num>
  <w:num w:numId="44">
    <w:abstractNumId w:val="2411461"/>
  </w:num>
  <w:num w:numId="45">
    <w:abstractNumId w:val="2411462"/>
  </w:num>
  <w:num w:numId="46">
    <w:abstractNumId w:val="2411463"/>
  </w:num>
  <w:num w:numId="47">
    <w:abstractNumId w:val="2411464"/>
  </w:num>
  <w:num w:numId="48">
    <w:abstractNumId w:val="2411465"/>
  </w:num>
  <w:num w:numId="49">
    <w:abstractNumId w:val="2411466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2026-02-12T07:18:15Z</dcterms:created>
  <dc:creator>Apache POI</dc:creator>
</cp:coreProperties>
</file>