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XTZH AI汇率定价模型建立与训练机制实施蓝图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 xml:space="preserve">：1.0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 xml:space="preserve">：NAC人工智能实验室 · XTZH模型工作组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生效日期</w:t>
      </w:r>
      <w:r>
        <w:rPr>
          <w:rFonts w:eastAsia="等线" w:ascii="Arial" w:cs="Arial" w:hAnsi="Arial"/>
          <w:sz w:val="22"/>
        </w:rPr>
        <w:t xml:space="preserve">：2026年2月12日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关联协议</w:t>
      </w:r>
      <w:r>
        <w:rPr>
          <w:rFonts w:eastAsia="等线" w:ascii="Arial" w:cs="Arial" w:hAnsi="Arial"/>
          <w:sz w:val="22"/>
        </w:rPr>
        <w:t xml:space="preserve">：XTZH汇率定价模型 v1.0、宪法层 v1.0、黄金永续合约储备法典 v1.1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</w:t>
      </w:r>
      <w:r>
        <w:rPr>
          <w:rFonts w:eastAsia="等线" w:ascii="Arial" w:cs="Arial" w:hAnsi="Arial"/>
          <w:sz w:val="22"/>
        </w:rPr>
        <w:t>：最终草案，待治理委员会批准后进入工程实施阶段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本蓝图详细定义XTZH汇率定价AI模型的</w:t>
      </w:r>
      <w:r>
        <w:rPr>
          <w:rFonts w:eastAsia="等线" w:ascii="Arial" w:cs="Arial" w:hAnsi="Arial"/>
          <w:b w:val="true"/>
          <w:sz w:val="22"/>
        </w:rPr>
        <w:t>完整落地路径</w:t>
      </w:r>
      <w:r>
        <w:rPr>
          <w:rFonts w:eastAsia="等线" w:ascii="Arial" w:cs="Arial" w:hAnsi="Arial"/>
          <w:sz w:val="22"/>
        </w:rPr>
        <w:t>——从数据工程、模型训练、验证审计，到链下部署、可验证计算集成，再到持续监控与治理更新。与以往概念设计不同，本方案聚焦</w:t>
      </w:r>
      <w:r>
        <w:rPr>
          <w:rFonts w:eastAsia="等线" w:ascii="Arial" w:cs="Arial" w:hAnsi="Arial"/>
          <w:b w:val="true"/>
          <w:sz w:val="22"/>
        </w:rPr>
        <w:t>可执行、可度量、可审计</w:t>
      </w:r>
      <w:r>
        <w:rPr>
          <w:rFonts w:eastAsia="等线" w:ascii="Arial" w:cs="Arial" w:hAnsi="Arial"/>
          <w:sz w:val="22"/>
        </w:rPr>
        <w:t>，所有技术决策均以</w:t>
      </w:r>
      <w:r>
        <w:rPr>
          <w:rFonts w:eastAsia="等线" w:ascii="Arial" w:cs="Arial" w:hAnsi="Arial"/>
          <w:b w:val="true"/>
          <w:sz w:val="22"/>
        </w:rPr>
        <w:t>2026年Q3主网上线</w:t>
      </w:r>
      <w:r>
        <w:rPr>
          <w:rFonts w:eastAsia="等线" w:ascii="Arial" w:cs="Arial" w:hAnsi="Arial"/>
          <w:sz w:val="22"/>
        </w:rPr>
        <w:t>为倒排节点。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核心交付物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50维宏观特征流水线</w:t>
      </w:r>
      <w:r>
        <w:rPr>
          <w:rFonts w:eastAsia="等线" w:ascii="Arial" w:cs="Arial" w:hAnsi="Arial"/>
          <w:sz w:val="22"/>
        </w:rPr>
        <w:t>（每日UTC 12:00快照，延迟≤5分钟）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Transformer‑注意力端到端模型</w:t>
      </w:r>
      <w:r>
        <w:rPr>
          <w:rFonts w:eastAsia="等线" w:ascii="Arial" w:cs="Arial" w:hAnsi="Arial"/>
          <w:sz w:val="22"/>
        </w:rPr>
        <w:t>（参数量2.1M，支持ZK证明）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多预言机可验证推理网络</w:t>
      </w:r>
      <w:r>
        <w:rPr>
          <w:rFonts w:eastAsia="等线" w:ascii="Arial" w:cs="Arial" w:hAnsi="Arial"/>
          <w:sz w:val="22"/>
        </w:rPr>
        <w:t>（3节点ZK证明 + 2节点TEE + 2节点乐观）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宪法级模型治理框架</w:t>
      </w:r>
      <w:r>
        <w:rPr>
          <w:rFonts w:eastAsia="等线" w:ascii="Arial" w:cs="Arial" w:hAnsi="Arial"/>
          <w:sz w:val="22"/>
        </w:rPr>
        <w:t>（版本冻结、A/B测试、紧急回滚）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第一部分：数据工程 —— 模型的生命线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数据源SLA与治理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380"/>
        <w:gridCol w:w="1380"/>
        <w:gridCol w:w="1380"/>
        <w:gridCol w:w="1380"/>
        <w:gridCol w:w="1380"/>
        <w:gridCol w:w="1380"/>
      </w:tblGrid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数据类别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具体字段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来源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更新频率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延迟要求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备份方案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宏观指数（标签）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美国非农、CPI、PPI、全球PMI、SCFI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BLS、Markit、上海航交所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发布时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≤15分钟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彭博/路透二次源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资产价格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6货币兑SDR、黄金LBMA、18商品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IMF、LBMA、LME、CBOT、ICE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日收盘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≤30分钟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Chainlink预言机聚合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宏观状态特征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央行利率、VIX、盈亏平衡通胀</w:t>
            </w:r>
            <w:r>
              <w:rPr>
                <w:rFonts w:eastAsia="等线" w:ascii="Arial" w:cs="Arial" w:hAnsi="Arial"/>
                <w:sz w:val="22"/>
              </w:rPr>
              <w:t>、地缘风险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各国央行、CBOE、Bloom</w:t>
            </w:r>
            <w:r>
              <w:rPr>
                <w:rFonts w:eastAsia="等线" w:ascii="Arial" w:cs="Arial" w:hAnsi="Arial"/>
                <w:sz w:val="22"/>
              </w:rPr>
              <w:t>berg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日/事件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≤1小时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自建爬虫+人工复核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风险指标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黄金波动率、覆盖率</w:t>
            </w:r>
            <w:r>
              <w:rPr>
                <w:rFonts w:eastAsia="等线" w:ascii="Arial" w:cs="Arial" w:hAnsi="Arial"/>
                <w:sz w:val="22"/>
              </w:rPr>
              <w:t>偏差、基差、资金费率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NAC系统状态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实时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≤1分钟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链上直接读取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数据治理委员会</w:t>
      </w:r>
      <w:r>
        <w:rPr>
          <w:rFonts w:eastAsia="等线" w:ascii="Arial" w:cs="Arial" w:hAnsi="Arial"/>
          <w:sz w:val="22"/>
        </w:rPr>
        <w:t>：由3名数据科学家+2名经济学家组成，负责：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数据源准入与剔除（年度审查）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异常值处理规则（如NFP大修）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历史数据回溯补全方法论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特征工程流水线（Airflow + Rust）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每日UTC 11:30启动，15分钟内完成：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采集</w:t>
      </w:r>
      <w:r>
        <w:rPr>
          <w:rFonts w:eastAsia="等线" w:ascii="Arial" w:cs="Arial" w:hAnsi="Arial"/>
          <w:sz w:val="22"/>
        </w:rPr>
        <w:t>：从多源API并行拉取原始数据。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清洗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去除明显错误值（如价格≤0）</w:t>
      </w:r>
    </w:p>
    <w:p>
      <w:pPr>
        <w:numPr>
          <w:numId w:val="1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使用</w:t>
      </w:r>
      <w:r>
        <w:rPr>
          <w:rFonts w:eastAsia="等线" w:ascii="Arial" w:cs="Arial" w:hAnsi="Arial"/>
          <w:b w:val="true"/>
          <w:sz w:val="22"/>
        </w:rPr>
        <w:t>孤立森林</w:t>
      </w:r>
      <w:r>
        <w:rPr>
          <w:rFonts w:eastAsia="等线" w:ascii="Arial" w:cs="Arial" w:hAnsi="Arial"/>
          <w:sz w:val="22"/>
        </w:rPr>
        <w:t>检测异常点，人工复核标记。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对齐</w:t>
      </w:r>
      <w:r>
        <w:rPr>
          <w:rFonts w:eastAsia="等线" w:ascii="Arial" w:cs="Arial" w:hAnsi="Arial"/>
          <w:sz w:val="22"/>
        </w:rPr>
        <w:t>：所有数据以</w:t>
      </w:r>
      <w:r>
        <w:rPr>
          <w:rFonts w:eastAsia="等线" w:ascii="Arial" w:cs="Arial" w:hAnsi="Arial"/>
          <w:b w:val="true"/>
          <w:sz w:val="22"/>
        </w:rPr>
        <w:t>交易日</w:t>
      </w:r>
      <w:r>
        <w:rPr>
          <w:rFonts w:eastAsia="等线" w:ascii="Arial" w:cs="Arial" w:hAnsi="Arial"/>
          <w:sz w:val="22"/>
        </w:rPr>
        <w:t>为键对齐，缺失值采用</w:t>
      </w:r>
      <w:r>
        <w:rPr>
          <w:rFonts w:eastAsia="等线" w:ascii="Arial" w:cs="Arial" w:hAnsi="Arial"/>
          <w:b w:val="true"/>
          <w:sz w:val="22"/>
        </w:rPr>
        <w:t>卡尔曼滤波+领先指标回归</w:t>
      </w:r>
      <w:r>
        <w:rPr>
          <w:rFonts w:eastAsia="等线" w:ascii="Arial" w:cs="Arial" w:hAnsi="Arial"/>
          <w:sz w:val="22"/>
        </w:rPr>
        <w:t>插补。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标准化</w:t>
      </w:r>
      <w:r>
        <w:rPr>
          <w:rFonts w:eastAsia="等线" w:ascii="Arial" w:cs="Arial" w:hAnsi="Arial"/>
          <w:sz w:val="22"/>
        </w:rPr>
        <w:t>：z-score，均值和标准差每季度重估，但历史数据使用当期统计量（避免未来信息）。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存储</w:t>
      </w:r>
      <w:r>
        <w:rPr>
          <w:rFonts w:eastAsia="等线" w:ascii="Arial" w:cs="Arial" w:hAnsi="Arial"/>
          <w:sz w:val="22"/>
        </w:rPr>
        <w:t>：Parquet格式分區存于S3，同时写入</w:t>
      </w:r>
      <w:r>
        <w:rPr>
          <w:rFonts w:eastAsia="等线" w:ascii="Arial" w:cs="Arial" w:hAnsi="Arial"/>
          <w:b w:val="true"/>
          <w:sz w:val="22"/>
        </w:rPr>
        <w:t>NAC链下数据可用性层</w:t>
      </w:r>
      <w:r>
        <w:rPr>
          <w:rFonts w:eastAsia="等线" w:ascii="Arial" w:cs="Arial" w:hAnsi="Arial"/>
          <w:sz w:val="22"/>
        </w:rPr>
        <w:t>（Celestia兼容），供未来审计。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关键决策</w:t>
      </w:r>
      <w:r>
        <w:rPr>
          <w:rFonts w:eastAsia="等线" w:ascii="Arial" w:cs="Arial" w:hAnsi="Arial"/>
          <w:sz w:val="22"/>
        </w:rPr>
        <w:t>：所有历史特征快照</w:t>
      </w:r>
      <w:r>
        <w:rPr>
          <w:rFonts w:eastAsia="等线" w:ascii="Arial" w:cs="Arial" w:hAnsi="Arial"/>
          <w:b w:val="true"/>
          <w:sz w:val="22"/>
        </w:rPr>
        <w:t>不可变</w:t>
      </w:r>
      <w:r>
        <w:rPr>
          <w:rFonts w:eastAsia="等线" w:ascii="Arial" w:cs="Arial" w:hAnsi="Arial"/>
          <w:sz w:val="22"/>
        </w:rPr>
        <w:t>——一旦生成，永久存档。模型训练必须使用</w:t>
      </w:r>
      <w:r>
        <w:rPr>
          <w:rFonts w:eastAsia="等线" w:ascii="Arial" w:cs="Arial" w:hAnsi="Arial"/>
          <w:b w:val="true"/>
          <w:sz w:val="22"/>
        </w:rPr>
        <w:t>当时可获取的数据快照</w:t>
      </w:r>
      <w:r>
        <w:rPr>
          <w:rFonts w:eastAsia="等线" w:ascii="Arial" w:cs="Arial" w:hAnsi="Arial"/>
          <w:sz w:val="22"/>
        </w:rPr>
        <w:t>（而非事后修正值），以真实模拟推理环境。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1.3 标签构造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五大宏观指数的</w:t>
      </w:r>
      <w:r>
        <w:rPr>
          <w:rFonts w:eastAsia="等线" w:ascii="Arial" w:cs="Arial" w:hAnsi="Arial"/>
          <w:b w:val="true"/>
          <w:sz w:val="22"/>
        </w:rPr>
        <w:t>次日变化</w:t>
      </w:r>
      <w:r>
        <w:rPr>
          <w:rFonts w:eastAsia="等线" w:ascii="Arial" w:cs="Arial" w:hAnsi="Arial"/>
          <w:sz w:val="22"/>
        </w:rPr>
        <w:t>作为监督信号：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频率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日频化方法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数据源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美国非农就业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央行周度预测插值</w:t>
            </w:r>
            <w:r>
              <w:rPr>
                <w:rFonts w:eastAsia="等线" w:ascii="Arial" w:cs="Arial" w:hAnsi="Arial"/>
                <w:sz w:val="22"/>
              </w:rPr>
              <w:t xml:space="preserve"> + 高频用工数据校准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 + Indeed Hiring Lab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美国CPI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细分</w:t>
            </w:r>
            <w:r>
              <w:rPr>
                <w:rFonts w:eastAsia="等线" w:ascii="Arial" w:cs="Arial" w:hAnsi="Arial"/>
                <w:sz w:val="22"/>
              </w:rPr>
              <w:t>项高频价格（二手车、汽油、机票）加权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 + 第三方通胀追踪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美国PPI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CRB指数 + 原油期货 + 供应链压力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 + NY Fed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全球制造业PMI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主要经济体PMI加权（美</w:t>
            </w:r>
            <w:r>
              <w:rPr>
                <w:rFonts w:eastAsia="等线" w:ascii="Arial" w:cs="Arial" w:hAnsi="Arial"/>
                <w:sz w:val="22"/>
              </w:rPr>
              <w:t>/中/欧/日）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Markit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SCFI运价指数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周中线性</w:t>
            </w:r>
            <w:r>
              <w:rPr>
                <w:rFonts w:eastAsia="等线" w:ascii="Arial" w:cs="Arial" w:hAnsi="Arial"/>
                <w:sz w:val="22"/>
              </w:rPr>
              <w:t>插值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上海航交所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标签生成时间</w:t>
      </w:r>
      <w:r>
        <w:rPr>
          <w:rFonts w:eastAsia="等线" w:ascii="Arial" w:cs="Arial" w:hAnsi="Arial"/>
          <w:sz w:val="22"/>
        </w:rPr>
        <w:t>：实际指数发布后立即生成，并与</w:t>
      </w:r>
      <w:r>
        <w:rPr>
          <w:rFonts w:eastAsia="等线" w:ascii="Arial" w:cs="Arial" w:hAnsi="Arial"/>
          <w:b w:val="true"/>
          <w:sz w:val="22"/>
        </w:rPr>
        <w:t>发布时间前一天的宏观状态向量</w:t>
      </w:r>
      <w:r>
        <w:rPr>
          <w:rFonts w:eastAsia="等线" w:ascii="Arial" w:cs="Arial" w:hAnsi="Arial"/>
          <w:sz w:val="22"/>
        </w:rPr>
        <w:t>对齐（避免前瞻偏差）。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第二部分：模型架构 —— 可验证的深度宏观经济感知器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2.1 总体结构（双阶段注意力）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输入层 (50维宏观特征)</w:t>
              <w:br/>
              <w:t xml:space="preserve">    ↓</w:t>
              <w:br/>
              <w:t>Transformer编码器 (4层, 8头, 256维)</w:t>
              <w:br/>
              <w:t xml:space="preserve">    ↓</w:t>
              <w:br/>
              <w:t>宏观上下文向量 C_t (128维)</w:t>
              <w:br/>
              <w:t xml:space="preserve">    ↓</w:t>
              <w:br/>
              <w:t>┌─────────────────────────────────────────────┐</w:t>
              <w:br/>
              <w:t>│ 第一层注意力 (资产层权重)                   │</w:t>
              <w:br/>
              <w:t>│ Q = C_t · W_Q, K = E_layer · W_K           │</w:t>
              <w:br/>
              <w:t>│ α = softmax(QKᵀ / √d)                      │</w:t>
              <w:br/>
              <w:t>│ w_raw = softmax(log(w_static) + γ·α)       │</w:t>
              <w:br/>
              <w:t>└─────────────────────────────────────────────┘</w:t>
              <w:br/>
              <w:t xml:space="preserve">    ↓</w:t>
              <w:br/>
              <w:t>(w_fx, w_au, w_com)   ← 风险约束修正 (后处理)</w:t>
              <w:br/>
              <w:t xml:space="preserve">    ↓</w:t>
              <w:br/>
              <w:t>┌─────────────────────────────────────────────┐</w:t>
              <w:br/>
              <w:t>│ 第二层注意力 (商品内偏离)                  │</w:t>
              <w:br/>
              <w:t>│ Q' = C_t · W_Q', K' = E_com · W_K'        │</w:t>
              <w:br/>
              <w:t>│ s_j = Q'·K'_j / τ                         │</w:t>
              <w:br/>
              <w:t>│ Δ'_j = η·(s_j - mean(s))                 │</w:t>
              <w:br/>
              <w:t>│ Δ_j = 零和投影 + 限幅                     │</w:t>
              <w:br/>
              <w:t>└─────────────────────────────────────────────┘</w:t>
              <w:br/>
              <w:t xml:space="preserve">    ↓</w:t>
              <w:br/>
              <w:t>XTZH汇率计算 (可微分)</w:t>
              <w:br/>
              <w:t xml:space="preserve">    ↓</w:t>
              <w:br/>
              <w:t>宏观预测头 (5个独立线性层</w:t>
            </w:r>
            <w:r>
              <w:rPr>
                <w:rFonts w:eastAsia="Consolas" w:ascii="Consolas" w:cs="Consolas" w:hAnsi="Consolas"/>
                <w:sz w:val="22"/>
              </w:rPr>
              <w:t>)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2.2 关键组件参数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组件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值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Transformer层数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经验值</w:t>
            </w:r>
            <w:r>
              <w:rPr>
                <w:rFonts w:eastAsia="等线" w:ascii="Arial" w:cs="Arial" w:hAnsi="Arial"/>
                <w:sz w:val="22"/>
              </w:rPr>
              <w:t>，兼顾表达力与ZK电路规模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注意力头数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嵌入维度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d_model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256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前馈网络维度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d_ff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</w:t>
            </w:r>
            <w:r>
              <w:rPr>
                <w:rFonts w:eastAsia="等线" w:ascii="Arial" w:cs="Arial" w:hAnsi="Arial"/>
                <w:sz w:val="22"/>
              </w:rPr>
              <w:t>24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Dropout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仅训练时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资产层</w:t>
            </w:r>
            <w:r>
              <w:rPr>
                <w:rFonts w:eastAsia="等线" w:ascii="Arial" w:cs="Arial" w:hAnsi="Arial"/>
                <w:sz w:val="22"/>
              </w:rPr>
              <w:t>嵌入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E_layer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3×32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可学习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商品嵌入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E_com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18×16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用GNACS分类初始化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温度参数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γ, η, τ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可学习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初始值1.0, 1.0, 0.5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总参数量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2.1M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完全满足zkML电路限制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2.3 风险约束修正（硬约束层）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AI输出的原始权重</w:t>
      </w:r>
      <w:r>
        <w:rPr>
          <w:rFonts w:eastAsia="Consolas" w:ascii="Consolas" w:cs="Consolas" w:hAnsi="Consolas"/>
          <w:sz w:val="22"/>
          <w:shd w:fill="EFF0F1"/>
        </w:rPr>
        <w:t>w_raw</w:t>
      </w:r>
      <w:r>
        <w:rPr>
          <w:rFonts w:eastAsia="等线" w:ascii="Arial" w:cs="Arial" w:hAnsi="Arial"/>
          <w:sz w:val="22"/>
        </w:rPr>
        <w:t>必须经过以下调整方可进入汇率计算：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def apply_risk_constraints(w_fx, w_au, w_com, deltas, state):</w:t>
              <w:br/>
              <w:t xml:space="preserve">    # 1. 宪法级约束：黄金层权重5-20%</w:t>
              <w:br/>
              <w:t xml:space="preserve">    w_au = clip(w_au, 500, 2000)  # 基点</w:t>
              <w:br/>
              <w:t xml:space="preserve">    </w:t>
              <w:br/>
              <w:t xml:space="preserve">    # 2. 覆盖率约束：黄金合约名义价值必须 ≥ XTZH市值 * w_au * 覆盖率目标</w:t>
              <w:br/>
              <w:t xml:space="preserve">    coverage_target = max(1.25, 1.3 + (vol - 0.15)/0.15 * 0.1)</w:t>
              <w:br/>
              <w:t xml:space="preserve">    required_notional = xtzh_mcap * (w_au/10000) * coverage_target</w:t>
              <w:br/>
              <w:t xml:space="preserve">    if gold_holdings &lt; required_notional:</w:t>
              <w:br/>
              <w:t xml:space="preserve">        # 降低w_au直至满足约束（或触发紧急增仓）</w:t>
              <w:br/>
              <w:t xml:space="preserve">        max_au = gold_holdings / (xtzh_mcap * coverage_target) * 10000</w:t>
              <w:br/>
              <w:t xml:space="preserve">        w_au = min(w_au, max_au)</w:t>
              <w:br/>
              <w:t xml:space="preserve">    </w:t>
              <w:br/>
              <w:t xml:space="preserve">    # 3. 资金费率优化：优先分配至低费率交易所（不影响总权重）</w:t>
              <w:br/>
              <w:t xml:space="preserve">    # 此步骤在再平衡引擎中执行，不修改AI输出</w:t>
              <w:br/>
              <w:t xml:space="preserve">    </w:t>
              <w:br/>
              <w:t xml:space="preserve">    # 4. 商品偏离零和约束已在模型中强制</w:t>
              <w:br/>
              <w:t xml:space="preserve">    return normalize(w_fx, w</w:t>
            </w:r>
            <w:r>
              <w:rPr>
                <w:rFonts w:eastAsia="Consolas" w:ascii="Consolas" w:cs="Consolas" w:hAnsi="Consolas"/>
                <w:sz w:val="22"/>
              </w:rPr>
              <w:t>_au, w_com), deltas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训练时模拟</w:t>
      </w:r>
      <w:r>
        <w:rPr>
          <w:rFonts w:eastAsia="等线" w:ascii="Arial" w:cs="Arial" w:hAnsi="Arial"/>
          <w:sz w:val="22"/>
        </w:rPr>
        <w:t>：在训练过程中，将上述约束算子</w:t>
      </w:r>
      <w:r>
        <w:rPr>
          <w:rFonts w:eastAsia="等线" w:ascii="Arial" w:cs="Arial" w:hAnsi="Arial"/>
          <w:b w:val="true"/>
          <w:sz w:val="22"/>
        </w:rPr>
        <w:t>插入计算图</w:t>
      </w:r>
      <w:r>
        <w:rPr>
          <w:rFonts w:eastAsia="等线" w:ascii="Arial" w:cs="Arial" w:hAnsi="Arial"/>
          <w:sz w:val="22"/>
        </w:rPr>
        <w:t>（使用straight-through estimator近似梯度），使模型学会主动避免触碰约束边界。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2.4 损失函数（多任务 + 风险正则）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\mathcal{L} = \underbrace{\sum_{i=1}^5 \lambda_i \cdot \text{Huber}(\Delta Y_{i,t+1},\ \hat{\Delta Y}_{i,t+1})}_{\text{宏观预测}} + \underbrace{\mu_1 \cdot \text{TV}(w_t)}_{\text{权重平滑}} + \underbrace{\mu_2 \cdot \sum_{j} \beta_j |\Delta_{j,t}|}_{\text{偏离稀疏}} + \underbrace{\mu_3 \cdot \mathbb{1}_{\text{constraint\_violated}}}_{\text{约束违反惩罚}}
</w:t>
        </m:r>
      </m:oMath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Huber损失：对异常值鲁棒，δ=1.0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λ_i 由治理投票每年确定（2026: 就业0.25, CPI 0.25, PPI 0.2, PMI 0.2, 供应链0.1）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μ₁=0.01, μ₂=0.005, μ₃=0.1（约束违反一次惩罚相当于0.1%预测误差）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不直接监督XTZH汇率</w:t>
      </w:r>
      <w:r>
        <w:rPr>
          <w:rFonts w:eastAsia="等线" w:ascii="Arial" w:cs="Arial" w:hAnsi="Arial"/>
          <w:sz w:val="22"/>
        </w:rPr>
        <w:t>，汇率只是中间变量，不参与损失计算。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第三部分：训练与验证策略</w:t>
      </w:r>
      <w:bookmarkEnd w:id="1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3.1 训练数据划分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时间范围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交易日数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用途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训练集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2000-01-01 ~ 2022-12-31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</w:t>
            </w:r>
            <w:r>
              <w:rPr>
                <w:rFonts w:eastAsia="等线" w:ascii="Arial" w:cs="Arial" w:hAnsi="Arial"/>
                <w:sz w:val="22"/>
              </w:rPr>
              <w:t>,800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模型参数学习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验证集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2023-01-01 ~ 2024-12-31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超参调优、早停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测试集1（常规）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2025-01-01 ~ 2025-12-31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260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最终性能评估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测试集2（极端）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2008-09-01 ~ 2009-03-31、2020-03-01 ~ 20</w:t>
            </w:r>
            <w:r>
              <w:rPr>
                <w:rFonts w:eastAsia="等线" w:ascii="Arial" w:cs="Arial" w:hAnsi="Arial"/>
                <w:sz w:val="22"/>
              </w:rPr>
              <w:t>20-04-30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150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压力测试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时间序列交叉验证</w:t>
      </w:r>
      <w:r>
        <w:rPr>
          <w:rFonts w:eastAsia="等线" w:ascii="Arial" w:cs="Arial" w:hAnsi="Arial"/>
          <w:sz w:val="22"/>
        </w:rPr>
        <w:t>：以5年窗口滚动，步长1年，确保模型在不同市场周期下的稳定性。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3.2 训练配置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项目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规格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硬件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 × NVIDIA H100 80GB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框架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PyTorch 2.4 + CUDA 12.1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批次大小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64（连续时间采样，保留时间顺序）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优化器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AdamW（β1=0.9, β2=0.999）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学习率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3e-4，余弦退火至1e-6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梯度裁剪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全局范数 1.0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早停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验证损失连续1</w:t>
            </w:r>
            <w:r>
              <w:rPr>
                <w:rFonts w:eastAsia="等线" w:ascii="Arial" w:cs="Arial" w:hAnsi="Arial"/>
                <w:sz w:val="22"/>
              </w:rPr>
              <w:t>0轮不降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训练时长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约7天（200轮）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可重复性</w:t>
      </w:r>
      <w:r>
        <w:rPr>
          <w:rFonts w:eastAsia="等线" w:ascii="Arial" w:cs="Arial" w:hAnsi="Arial"/>
          <w:sz w:val="22"/>
        </w:rPr>
        <w:t>：固定随机种子，记录每次训练的Git commit哈希、超参数、数据快照版本。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3.3 验证指标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主要指标</w:t>
      </w:r>
      <w:r>
        <w:rPr>
          <w:rFonts w:eastAsia="等线" w:ascii="Arial" w:cs="Arial" w:hAnsi="Arial"/>
          <w:sz w:val="22"/>
        </w:rPr>
        <w:t>（决定模型能否上线）：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宏观预测R²</w:t>
      </w:r>
      <w:r>
        <w:rPr>
          <w:rFonts w:eastAsia="等线" w:ascii="Arial" w:cs="Arial" w:hAnsi="Arial"/>
          <w:sz w:val="22"/>
        </w:rPr>
        <w:t>：测试集1上五大指数平均R² ≥ 0.65，且单一指数R² ≥ 0.5。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极端情景稳定性</w:t>
      </w:r>
      <w:r>
        <w:rPr>
          <w:rFonts w:eastAsia="等线" w:ascii="Arial" w:cs="Arial" w:hAnsi="Arial"/>
          <w:sz w:val="22"/>
        </w:rPr>
        <w:t>：测试集2上XTZH汇率日波动率 ≤ SDR日波动率 × 2。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权重分布合理性</w:t>
      </w:r>
      <w:r>
        <w:rPr>
          <w:rFonts w:eastAsia="等线" w:ascii="Arial" w:cs="Arial" w:hAnsi="Arial"/>
          <w:sz w:val="22"/>
        </w:rPr>
        <w:t>：黄金层权重在危机期间自动提升，且不超过20%上限。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次要指标</w:t>
      </w:r>
      <w:r>
        <w:rPr>
          <w:rFonts w:eastAsia="等线" w:ascii="Arial" w:cs="Arial" w:hAnsi="Arial"/>
          <w:sz w:val="22"/>
        </w:rPr>
        <w:t>（用于版本比较）：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权重日变动绝对值中位数 ≤ 1.5%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商品偏离系数平均绝对值 ≤ 0.08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单次推理时间（GPU）≤ 50ms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3.4 A/B测试协议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新模型候选版本必须经过</w:t>
      </w:r>
      <w:r>
        <w:rPr>
          <w:rFonts w:eastAsia="等线" w:ascii="Arial" w:cs="Arial" w:hAnsi="Arial"/>
          <w:b w:val="true"/>
          <w:sz w:val="22"/>
        </w:rPr>
        <w:t>至少30天影子运行</w:t>
      </w:r>
      <w:r>
        <w:rPr>
          <w:rFonts w:eastAsia="等线" w:ascii="Arial" w:cs="Arial" w:hAnsi="Arial"/>
          <w:sz w:val="22"/>
        </w:rPr>
        <w:t>，与生产模型并行输出但不影响实际结算。对比指标：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指标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胜出条件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宏观预测R²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显著高于生产模型（p&lt;0.05）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覆盖率偏差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不显著高于生产模型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极端情景模拟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不劣于生产模型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通过A/B测试后，提交</w:t>
      </w:r>
      <w:r>
        <w:rPr>
          <w:rFonts w:eastAsia="等线" w:ascii="Arial" w:cs="Arial" w:hAnsi="Arial"/>
          <w:b w:val="true"/>
          <w:sz w:val="22"/>
        </w:rPr>
        <w:t>模型升级提案</w:t>
      </w:r>
      <w:r>
        <w:rPr>
          <w:rFonts w:eastAsia="等线" w:ascii="Arial" w:cs="Arial" w:hAnsi="Arial"/>
          <w:sz w:val="22"/>
        </w:rPr>
        <w:t>至XIC治理。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第四部分：可验证推理部署</w:t>
      </w:r>
      <w:bookmarkEnd w:id="1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4.1 混合预言机网络架构</w:t>
      </w:r>
      <w:bookmarkEnd w:id="1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┌─────────────────────────────────────────────────────┐</w:t>
              <w:br/>
              <w:t>│                   治理委员会                        │</w:t>
              <w:br/>
              <w:t>│          （批准模型版本、ZK验证密钥）               │</w:t>
              <w:br/>
              <w:t>└─────────────────────────┬───────────────────────────┘</w:t>
              <w:br/>
              <w:t xml:space="preserve">                          ↓ 下发模型权重哈希</w:t>
              <w:br/>
              <w:t>┌─────────────────────────────────────────────────────┐</w:t>
              <w:br/>
              <w:t>│               预言机节点池（7个独立实体）           │</w:t>
              <w:br/>
              <w:t>├─────────────┬─────────────┬────────────────────────┤</w:t>
              <w:br/>
              <w:t>│  3x ZK节点  │  2x TEE节点 │  2x 乐观节点           │</w:t>
              <w:br/>
              <w:t>│  (Nexus     │  (NVIDIA    │  (质押100万XIC)        │</w:t>
              <w:br/>
              <w:t>│   zkVM)     │   H100 CC)  │                        │</w:t>
              <w:br/>
              <w:t>└─────────────┴─────────────┴────────────────────────┘</w:t>
              <w:br/>
              <w:t xml:space="preserve">          ↓              ↓              ↓</w:t>
              <w:br/>
              <w:t xml:space="preserve">       ZK证明        TEE认证       （无证明，仅签名）</w:t>
              <w:br/>
              <w:t xml:space="preserve">          └──────────────┬────────────────┘</w:t>
              <w:br/>
              <w:t xml:space="preserve">                         ↓</w:t>
              <w:br/>
              <w:t xml:space="preserve">              聚合器（取中位数，过滤离群）</w:t>
              <w:br/>
              <w:t xml:space="preserve">                         ↓</w:t>
              <w:br/>
              <w:t xml:space="preserve">             </w:t>
            </w:r>
            <w:r>
              <w:rPr>
                <w:rFonts w:eastAsia="Consolas" w:ascii="Consolas" w:cs="Consolas" w:hAnsi="Consolas"/>
                <w:sz w:val="22"/>
              </w:rPr>
              <w:t>宪法收据（CR）→ 提交至NAC链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4.2 ZK证明生成与验证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模型编译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将训练好的PyTorch模型导出为ONNX。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</w:t>
      </w:r>
      <w:r>
        <w:rPr>
          <w:rFonts w:eastAsia="等线" w:ascii="Arial" w:cs="Arial" w:hAnsi="Arial"/>
          <w:b w:val="true"/>
          <w:sz w:val="22"/>
        </w:rPr>
        <w:t>Nexus zkMCP</w:t>
      </w:r>
      <w:r>
        <w:rPr>
          <w:rFonts w:eastAsia="等线" w:ascii="Arial" w:cs="Arial" w:hAnsi="Arial"/>
          <w:sz w:val="22"/>
        </w:rPr>
        <w:t>编译器将ONNX转换为zk-circuit（支持Transformer、注意力）。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输出：电路描述文件（.zkey）、验证密钥（vk）、证明密钥（pk）。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证明生成</w:t>
      </w:r>
      <w:r>
        <w:rPr>
          <w:rFonts w:eastAsia="等线" w:ascii="Arial" w:cs="Arial" w:hAnsi="Arial"/>
          <w:sz w:val="22"/>
        </w:rPr>
        <w:t>（ZK节点）：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输入：宏观特征向量（50维）、模型权重（固化在电路中）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输出：XTZH汇率 + </w:t>
      </w:r>
      <w:r>
        <w:rPr>
          <w:rFonts w:eastAsia="等线" w:ascii="Arial" w:cs="Arial" w:hAnsi="Arial"/>
          <w:b w:val="true"/>
          <w:sz w:val="22"/>
        </w:rPr>
        <w:t>Groth16证明</w:t>
      </w:r>
      <w:r>
        <w:rPr>
          <w:rFonts w:eastAsia="等线" w:ascii="Arial" w:cs="Arial" w:hAnsi="Arial"/>
          <w:sz w:val="22"/>
        </w:rPr>
        <w:t>（BN254曲线）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单次证明时间：</w:t>
      </w:r>
      <w:r>
        <w:rPr>
          <w:rFonts w:eastAsia="等线" w:ascii="Arial" w:cs="Arial" w:hAnsi="Arial"/>
          <w:b w:val="true"/>
          <w:sz w:val="22"/>
        </w:rPr>
        <w:t>~20秒</w:t>
      </w:r>
      <w:r>
        <w:rPr>
          <w:rFonts w:eastAsia="等线" w:ascii="Arial" w:cs="Arial" w:hAnsi="Arial"/>
          <w:sz w:val="22"/>
        </w:rPr>
        <w:t>（H100）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证明大小：~1.2KB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链上验证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NAC节点通过NVM指令</w:t>
      </w:r>
      <w:r>
        <w:rPr>
          <w:rFonts w:eastAsia="Consolas" w:ascii="Consolas" w:cs="Consolas" w:hAnsi="Consolas"/>
          <w:sz w:val="22"/>
          <w:shd w:fill="EFF0F1"/>
        </w:rPr>
        <w:t>ZK_VERIFY_GROTH16</w:t>
      </w:r>
      <w:r>
        <w:rPr>
          <w:rFonts w:eastAsia="等线" w:ascii="Arial" w:cs="Arial" w:hAnsi="Arial"/>
          <w:sz w:val="22"/>
        </w:rPr>
        <w:t>（0xF3）验证证明，Gas成本20,000。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验证密钥vk作为</w:t>
      </w:r>
      <w:r>
        <w:rPr>
          <w:rFonts w:eastAsia="等线" w:ascii="Arial" w:cs="Arial" w:hAnsi="Arial"/>
          <w:b w:val="true"/>
          <w:sz w:val="22"/>
        </w:rPr>
        <w:t>系统常量</w:t>
      </w:r>
      <w:r>
        <w:rPr>
          <w:rFonts w:eastAsia="等线" w:ascii="Arial" w:cs="Arial" w:hAnsi="Arial"/>
          <w:sz w:val="22"/>
        </w:rPr>
        <w:t>存储，仅可通过治理更新。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4.3 TEE远程认证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硬件要求</w:t>
      </w:r>
      <w:r>
        <w:rPr>
          <w:rFonts w:eastAsia="等线" w:ascii="Arial" w:cs="Arial" w:hAnsi="Arial"/>
          <w:sz w:val="22"/>
        </w:rPr>
        <w:t>：NVIDIA H100 机密计算模式（或Intel TDX）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认证流程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推理程序在TEE内运行，代码哈希预先注册。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启动时生成远程认证报告（包含代码哈希、输入哈希、输出哈希）。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报告由NVIDIA根证书签名，链上通过</w:t>
      </w:r>
      <w:r>
        <w:rPr>
          <w:rFonts w:eastAsia="Consolas" w:ascii="Consolas" w:cs="Consolas" w:hAnsi="Consolas"/>
          <w:sz w:val="22"/>
          <w:shd w:fill="EFF0F1"/>
        </w:rPr>
        <w:t>TEE_VERIFY_NVIDIA</w:t>
      </w:r>
      <w:r>
        <w:rPr>
          <w:rFonts w:eastAsia="等线" w:ascii="Arial" w:cs="Arial" w:hAnsi="Arial"/>
          <w:sz w:val="22"/>
        </w:rPr>
        <w:t>指令验证。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优势</w:t>
      </w:r>
      <w:r>
        <w:rPr>
          <w:rFonts w:eastAsia="等线" w:ascii="Arial" w:cs="Arial" w:hAnsi="Arial"/>
          <w:sz w:val="22"/>
        </w:rPr>
        <w:t>：几乎无性能开销，支持任意复杂模型。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劣势</w:t>
      </w:r>
      <w:r>
        <w:rPr>
          <w:rFonts w:eastAsia="等线" w:ascii="Arial" w:cs="Arial" w:hAnsi="Arial"/>
          <w:sz w:val="22"/>
        </w:rPr>
        <w:t>：信任硬件厂商及节点运营商。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4.4 乐观验证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经济安全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每个乐观节点质押</w:t>
      </w:r>
      <w:r>
        <w:rPr>
          <w:rFonts w:eastAsia="等线" w:ascii="Arial" w:cs="Arial" w:hAnsi="Arial"/>
          <w:b w:val="true"/>
          <w:sz w:val="22"/>
        </w:rPr>
        <w:t>100万XIC</w:t>
      </w:r>
      <w:r>
        <w:rPr>
          <w:rFonts w:eastAsia="等线" w:ascii="Arial" w:cs="Arial" w:hAnsi="Arial"/>
          <w:sz w:val="22"/>
        </w:rPr>
        <w:t>（约200万美元）。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挑战期6小时，任何人可提交欺诈证明。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若证明成功，质押金一半奖励挑战者，一半销毁。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历史欺诈率目标 &lt; 0.01%。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适用场景</w:t>
      </w:r>
      <w:r>
        <w:rPr>
          <w:rFonts w:eastAsia="等线" w:ascii="Arial" w:cs="Arial" w:hAnsi="Arial"/>
          <w:sz w:val="22"/>
        </w:rPr>
        <w:t>：低波动时期作为补充，降低运营成本。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4.5 最终汇率确定</w:t>
      </w:r>
      <w:bookmarkEnd w:id="20"/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所有节点独立运行</w:t>
      </w:r>
      <w:r>
        <w:rPr>
          <w:rFonts w:eastAsia="等线" w:ascii="Arial" w:cs="Arial" w:hAnsi="Arial"/>
          <w:b w:val="true"/>
          <w:sz w:val="22"/>
        </w:rPr>
        <w:t>同一模型版本</w:t>
      </w:r>
      <w:r>
        <w:rPr>
          <w:rFonts w:eastAsia="等线" w:ascii="Arial" w:cs="Arial" w:hAnsi="Arial"/>
          <w:sz w:val="22"/>
        </w:rPr>
        <w:t>（模型哈希已固化）。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输出XTZH对SDR汇率，</w:t>
      </w:r>
      <w:r>
        <w:rPr>
          <w:rFonts w:eastAsia="等线" w:ascii="Arial" w:cs="Arial" w:hAnsi="Arial"/>
          <w:b w:val="true"/>
          <w:sz w:val="22"/>
        </w:rPr>
        <w:t>精度1e6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聚合器收集7个输出，</w:t>
      </w:r>
      <w:r>
        <w:rPr>
          <w:rFonts w:eastAsia="等线" w:ascii="Arial" w:cs="Arial" w:hAnsi="Arial"/>
          <w:b w:val="true"/>
          <w:sz w:val="22"/>
        </w:rPr>
        <w:t>剔除与中位数偏差&gt;0.3%</w:t>
      </w:r>
      <w:r>
        <w:rPr>
          <w:rFonts w:eastAsia="等线" w:ascii="Arial" w:cs="Arial" w:hAnsi="Arial"/>
          <w:sz w:val="22"/>
        </w:rPr>
        <w:t>的值。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剩余有效值的</w:t>
      </w:r>
      <w:r>
        <w:rPr>
          <w:rFonts w:eastAsia="等线" w:ascii="Arial" w:cs="Arial" w:hAnsi="Arial"/>
          <w:b w:val="true"/>
          <w:sz w:val="22"/>
        </w:rPr>
        <w:t>中位数</w:t>
      </w:r>
      <w:r>
        <w:rPr>
          <w:rFonts w:eastAsia="等线" w:ascii="Arial" w:cs="Arial" w:hAnsi="Arial"/>
          <w:sz w:val="22"/>
        </w:rPr>
        <w:t>作为最终汇率。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打包成</w:t>
      </w:r>
      <w:r>
        <w:rPr>
          <w:rFonts w:eastAsia="Consolas" w:ascii="Consolas" w:cs="Consolas" w:hAnsi="Consolas"/>
          <w:sz w:val="22"/>
          <w:shd w:fill="EFF0F1"/>
        </w:rPr>
        <w:t>XTZHRateReceipt</w:t>
      </w:r>
      <w:r>
        <w:rPr>
          <w:rFonts w:eastAsia="等线" w:ascii="Arial" w:cs="Arial" w:hAnsi="Arial"/>
          <w:sz w:val="22"/>
        </w:rPr>
        <w:t>，收集BLS签名（≥5个节点）。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提交至NAC链</w:t>
      </w:r>
      <w:r>
        <w:rPr>
          <w:rFonts w:eastAsia="Consolas" w:ascii="Consolas" w:cs="Consolas" w:hAnsi="Consolas"/>
          <w:sz w:val="22"/>
          <w:shd w:fill="EFF0F1"/>
        </w:rPr>
        <w:t>XTZHFeed</w:t>
      </w:r>
      <w:r>
        <w:rPr>
          <w:rFonts w:eastAsia="等线" w:ascii="Arial" w:cs="Arial" w:hAnsi="Arial"/>
          <w:sz w:val="22"/>
        </w:rPr>
        <w:t>合约。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链上处理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合约验证签名、宪法哈希、时间戳。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将汇率写入系统状态树，触发事件。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全程Gas成本 &lt; 80,000。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第五部分：模型生命周期与治理</w:t>
      </w:r>
      <w:bookmarkEnd w:id="2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5.1 版本管理</w:t>
      </w:r>
      <w:bookmarkEnd w:id="2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版本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训练数据截止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激活高度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状态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备注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v0.9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2024-12-31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未激活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测试网验证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影子运行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v1.0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2025-12-31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TBD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候选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首次主网提案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v1.1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每季度增量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待定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开发中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持续</w:t>
            </w:r>
            <w:r>
              <w:rPr>
                <w:rFonts w:eastAsia="等线" w:ascii="Arial" w:cs="Arial" w:hAnsi="Arial"/>
                <w:sz w:val="22"/>
              </w:rPr>
              <w:t>优化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命名规范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XTZH-MODEL-{主版本}.{次版本}.{修订}</w:t>
      </w:r>
      <w:r>
        <w:rPr>
          <w:rFonts w:eastAsia="等线" w:ascii="Arial" w:cs="Arial" w:hAnsi="Arial"/>
          <w:sz w:val="22"/>
        </w:rPr>
        <w:t>，主版本代表不兼容变更（架构改动），次版本为功能增强，修订为紧急修复。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5.2 升级流程（宪法级）</w:t>
      </w:r>
      <w:bookmarkEnd w:id="2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┌──────────┐    ┌──────────┐    ┌──────────┐    ┌──────────┐</w:t>
              <w:br/>
              <w:t>│ 模型研发 │ -&gt; │ A/B测试 │ -&gt; │ 治理提案 │ -&gt; │ 宪法法院 │</w:t>
              <w:br/>
              <w:t>│ (实验室) │    │ (30天)   │    │ (公示14天)│    │ 审查(7天)│</w:t>
              <w:br/>
              <w:t>└──────────┘    └──────────┘    └──────────┘    └──────────┘</w:t>
              <w:br/>
              <w:t xml:space="preserve">                                                       │</w:t>
              <w:br/>
              <w:t xml:space="preserve">                                                       ↓</w:t>
              <w:br/>
              <w:t>┌──────────┐    ┌──────────┐    ┌──────────┐    ┌──────────┐</w:t>
              <w:br/>
              <w:t>│ 主网激活 │ &lt;- │ 冷静期  │ &lt;- │ 全民公投 │ &lt;- │ 立法议会 │</w:t>
              <w:br/>
              <w:t>│ (时间锁) │    │ (7天)   │    │ (21天)   │    │ 投票(7天)│</w:t>
              <w:br/>
              <w:t xml:space="preserve">└──────────┘   </w:t>
            </w:r>
            <w:r>
              <w:rPr>
                <w:rFonts w:eastAsia="Consolas" w:ascii="Consolas" w:cs="Consolas" w:hAnsi="Consolas"/>
                <w:sz w:val="22"/>
              </w:rPr>
              <w:t xml:space="preserve"> └──────────┘    └──────────┘    └──────────┘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投票门槛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立法议会：XIC持有者二次方投票，赞成率≥66%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全民公投：参与率≥40%，赞成率≥66%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宪法法院：需5/9法官同意，且无“违宪”裁决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紧急热修复</w:t>
      </w:r>
      <w:r>
        <w:rPr>
          <w:rFonts w:eastAsia="等线" w:ascii="Arial" w:cs="Arial" w:hAnsi="Arial"/>
          <w:sz w:val="22"/>
        </w:rPr>
        <w:t>（严重漏洞）：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技术委员会2/3多数可强制回滚至上一稳定版本。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需在24小时内提交宪法法院备案，否则视为无效。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5.3 模型卡与透明度</w:t>
      </w:r>
      <w:bookmarkEnd w:id="2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每个生产版本必须发布</w:t>
      </w:r>
      <w:r>
        <w:rPr>
          <w:rFonts w:eastAsia="等线" w:ascii="Arial" w:cs="Arial" w:hAnsi="Arial"/>
          <w:b w:val="true"/>
          <w:sz w:val="22"/>
        </w:rPr>
        <w:t>模型卡</w:t>
      </w:r>
      <w:r>
        <w:rPr>
          <w:rFonts w:eastAsia="等线" w:ascii="Arial" w:cs="Arial" w:hAnsi="Arial"/>
          <w:sz w:val="22"/>
        </w:rPr>
        <w:t>，包含：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意图</w:t>
      </w:r>
      <w:r>
        <w:rPr>
          <w:rFonts w:eastAsia="等线" w:ascii="Arial" w:cs="Arial" w:hAnsi="Arial"/>
          <w:sz w:val="22"/>
        </w:rPr>
        <w:t>：XTZH汇率预测，用于锚定SDR。</w:t>
      </w:r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风险概述</w:t>
      </w:r>
      <w:r>
        <w:rPr>
          <w:rFonts w:eastAsia="等线" w:ascii="Arial" w:cs="Arial" w:hAnsi="Arial"/>
          <w:sz w:val="22"/>
        </w:rPr>
        <w:t>：依赖宏观数据发布时效、可能过拟合。</w:t>
      </w:r>
    </w:p>
    <w:p>
      <w:pPr>
        <w:numPr>
          <w:numId w:val="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训练数据</w:t>
      </w:r>
      <w:r>
        <w:rPr>
          <w:rFonts w:eastAsia="等线" w:ascii="Arial" w:cs="Arial" w:hAnsi="Arial"/>
          <w:sz w:val="22"/>
        </w:rPr>
        <w:t>：时间范围、特征列表、预处理代码链接。</w:t>
      </w:r>
    </w:p>
    <w:p>
      <w:pPr>
        <w:numPr>
          <w:numId w:val="5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评估结果</w:t>
      </w:r>
      <w:r>
        <w:rPr>
          <w:rFonts w:eastAsia="等线" w:ascii="Arial" w:cs="Arial" w:hAnsi="Arial"/>
          <w:sz w:val="22"/>
        </w:rPr>
        <w:t>：测试集R²、压力测试报告。</w:t>
      </w:r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伦理考量</w:t>
      </w:r>
      <w:r>
        <w:rPr>
          <w:rFonts w:eastAsia="等线" w:ascii="Arial" w:cs="Arial" w:hAnsi="Arial"/>
          <w:sz w:val="22"/>
        </w:rPr>
        <w:t>：无歧视性特征，不针对特定国家/人群。</w:t>
      </w:r>
    </w:p>
    <w:p>
      <w:pPr>
        <w:numPr>
          <w:numId w:val="6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可解释性</w:t>
      </w:r>
      <w:r>
        <w:rPr>
          <w:rFonts w:eastAsia="等线" w:ascii="Arial" w:cs="Arial" w:hAnsi="Arial"/>
          <w:sz w:val="22"/>
        </w:rPr>
        <w:t>：全局特征重要性、典型情景权重归因。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模型卡托管于IPFS，哈希上链。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5" w:id="25"/>
      <w:r>
        <w:rPr>
          <w:rFonts w:eastAsia="等线" w:ascii="Arial" w:cs="Arial" w:hAnsi="Arial"/>
          <w:b w:val="true"/>
          <w:sz w:val="36"/>
        </w:rPr>
        <w:t>第六部分：监控与告警</w:t>
      </w:r>
      <w:bookmarkEnd w:id="2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6.1 实时监控仪表板</w:t>
      </w:r>
      <w:bookmarkEnd w:id="2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延迟</w:t>
      </w:r>
      <w:r>
        <w:rPr>
          <w:rFonts w:eastAsia="等线" w:ascii="Arial" w:cs="Arial" w:hAnsi="Arial"/>
          <w:sz w:val="22"/>
        </w:rPr>
        <w:t>：≤1分钟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模型性能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滚动30日宏观预测R²（分指数）</w:t>
      </w:r>
    </w:p>
    <w:p>
      <w:pPr>
        <w:numPr>
          <w:numId w:val="6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权重日波动率</w:t>
      </w:r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商品偏离绝对值均值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模型推理成功率（预言机节点）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风险合规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当前覆盖率及各交易所明细</w:t>
      </w:r>
    </w:p>
    <w:p>
      <w:pPr>
        <w:numPr>
          <w:numId w:val="6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动态杠杆倍数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赎回队列长度与预估等待时间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L1/L2/L3缓冲池余额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系统健康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预言机节点在线率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ZK证明生成延迟（p99）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链上汇率交易Gas消耗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7" w:id="27"/>
      <w:r>
        <w:rPr>
          <w:rFonts w:eastAsia="等线" w:ascii="Arial" w:cs="Arial" w:hAnsi="Arial"/>
          <w:b w:val="true"/>
          <w:sz w:val="32"/>
        </w:rPr>
        <w:t>6.2 告警阈值</w:t>
      </w:r>
      <w:bookmarkEnd w:id="2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警告阈值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紧急阈值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响应团队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宏观预测R²（滚动30日）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&lt;0.55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&lt;0.45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数据科学组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覆盖率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&lt;135%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</w:t>
            </w:r>
            <w:r>
              <w:rPr>
                <w:rFonts w:eastAsia="等线" w:ascii="Arial" w:cs="Arial" w:hAnsi="Arial"/>
                <w:sz w:val="22"/>
              </w:rPr>
              <w:t>128%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风险控制组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ZK证明失败率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&gt;2%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密码学工程组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预言机节点离线数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≥4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基础设施组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权重日波动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&gt;3%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&gt;5%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模型治理组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6.3 定期审计</w:t>
      </w:r>
      <w:bookmarkEnd w:id="2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审计类型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频率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执行</w:t>
            </w:r>
            <w:r>
              <w:rPr>
                <w:rFonts w:eastAsia="等线" w:ascii="Arial" w:cs="Arial" w:hAnsi="Arial"/>
                <w:sz w:val="22"/>
              </w:rPr>
              <w:t>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报告范围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数据审计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内部数据团队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特征分布漂移、数据源可用性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模型审计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独立第三方（如Trail of</w:t>
            </w:r>
            <w:r>
              <w:rPr>
                <w:rFonts w:eastAsia="等线" w:ascii="Arial" w:cs="Arial" w:hAnsi="Arial"/>
                <w:sz w:val="22"/>
              </w:rPr>
              <w:t xml:space="preserve"> Bits）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代码漏洞、后门检测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压力测试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每季度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风险委员会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极端情景模拟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全面审计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每年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四大会计师事务所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财务+技术+合规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9" w:id="29"/>
      <w:r>
        <w:rPr>
          <w:rFonts w:eastAsia="等线" w:ascii="Arial" w:cs="Arial" w:hAnsi="Arial"/>
          <w:b w:val="true"/>
          <w:sz w:val="36"/>
        </w:rPr>
        <w:t>第七部分：实施路线图（2026.02 – 2026.10）</w:t>
      </w:r>
      <w:bookmarkEnd w:id="29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0" w:id="30"/>
      <w:r>
        <w:rPr>
          <w:rFonts w:eastAsia="等线" w:ascii="Arial" w:cs="Arial" w:hAnsi="Arial"/>
          <w:b w:val="true"/>
          <w:sz w:val="32"/>
        </w:rPr>
        <w:t>Phase 1：数据工程与基线（2026.02 – 2026.04）</w:t>
      </w:r>
      <w:bookmarkEnd w:id="3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里程碑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责任人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2.28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数据源API接入完成，历史数据</w:t>
            </w:r>
            <w:r>
              <w:rPr>
                <w:rFonts w:eastAsia="等线" w:ascii="Arial" w:cs="Arial" w:hAnsi="Arial"/>
                <w:sz w:val="22"/>
              </w:rPr>
              <w:t>回补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数据工程师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特征流水线v1上线（Airflow）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数据工程师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3.31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基线</w:t>
            </w:r>
            <w:r>
              <w:rPr>
                <w:rFonts w:eastAsia="等线" w:ascii="Arial" w:cs="Arial" w:hAnsi="Arial"/>
                <w:sz w:val="22"/>
              </w:rPr>
              <w:t>线性模型完成，R² ≥ 0.4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数据科学家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数据治理委员会成立，发布数据</w:t>
            </w:r>
            <w:r>
              <w:rPr>
                <w:rFonts w:eastAsia="等线" w:ascii="Arial" w:cs="Arial" w:hAnsi="Arial"/>
                <w:sz w:val="22"/>
              </w:rPr>
              <w:t>规范v1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经济学家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1" w:id="31"/>
      <w:r>
        <w:rPr>
          <w:rFonts w:eastAsia="等线" w:ascii="Arial" w:cs="Arial" w:hAnsi="Arial"/>
          <w:b w:val="true"/>
          <w:sz w:val="32"/>
        </w:rPr>
        <w:t>Phase 2：模型开发与验证（2026.04 – 2026.07）</w:t>
      </w:r>
      <w:bookmarkEnd w:id="3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里程碑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责任人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5.01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Transformer原型，单机训练通过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ML工程师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5.31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多GPU分布式训练</w:t>
            </w:r>
            <w:r>
              <w:rPr>
                <w:rFonts w:eastAsia="等线" w:ascii="Arial" w:cs="Arial" w:hAnsi="Arial"/>
                <w:sz w:val="22"/>
              </w:rPr>
              <w:t>脚本，复现验证集R²≥0.6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ML工程师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ZK电路编译完成，证明生成测试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密码学工程师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6.30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压力测试报告，极端情景通过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风险分析师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模型v1.0候选冻结，</w:t>
            </w:r>
            <w:r>
              <w:rPr>
                <w:rFonts w:eastAsia="等线" w:ascii="Arial" w:cs="Arial" w:hAnsi="Arial"/>
                <w:sz w:val="22"/>
              </w:rPr>
              <w:t>A/B测试启动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模型治理组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2" w:id="32"/>
      <w:r>
        <w:rPr>
          <w:rFonts w:eastAsia="等线" w:ascii="Arial" w:cs="Arial" w:hAnsi="Arial"/>
          <w:b w:val="true"/>
          <w:sz w:val="32"/>
        </w:rPr>
        <w:t>Phase 3：预言机网络部署（2026.07 – 2026.09）</w:t>
      </w:r>
      <w:bookmarkEnd w:id="3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里程碑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责任人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7.31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3个ZK节点部署（Nexus zkVM）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基础设施组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2个TEE节点部署</w:t>
            </w:r>
            <w:r>
              <w:rPr>
                <w:rFonts w:eastAsia="等线" w:ascii="Arial" w:cs="Arial" w:hAnsi="Arial"/>
                <w:sz w:val="22"/>
              </w:rPr>
              <w:t>（NVIDIA H100 CC）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基础设施组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8.3</w:t>
            </w:r>
            <w:r>
              <w:rPr>
                <w:rFonts w:eastAsia="等线" w:ascii="Arial" w:cs="Arial" w:hAnsi="Arial"/>
                <w:sz w:val="22"/>
              </w:rPr>
              <w:t>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乐观节点质押合约审计完成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安全团队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预言机网络端到端测试（测试网）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QA工程师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3" w:id="33"/>
      <w:r>
        <w:rPr>
          <w:rFonts w:eastAsia="等线" w:ascii="Arial" w:cs="Arial" w:hAnsi="Arial"/>
          <w:b w:val="true"/>
          <w:sz w:val="30"/>
        </w:rPr>
        <w:t>Phase 4：主网上线（2026.09 – 2026.10）</w:t>
      </w:r>
      <w:bookmarkEnd w:id="3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里程碑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责任人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9.30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治理提案提交（模型v1.0）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项目经理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全民公投通过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社区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10.22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冷静期结束，宪法法院批准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10.30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主网激活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核心开发组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4" w:id="34"/>
      <w:r>
        <w:rPr>
          <w:rFonts w:eastAsia="等线" w:ascii="Arial" w:cs="Arial" w:hAnsi="Arial"/>
          <w:b w:val="true"/>
          <w:sz w:val="32"/>
        </w:rPr>
        <w:t>第八部分：资源与团队</w:t>
      </w:r>
      <w:bookmarkEnd w:id="34"/>
    </w:p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5" w:id="35"/>
      <w:r>
        <w:rPr>
          <w:rFonts w:eastAsia="等线" w:ascii="Arial" w:cs="Arial" w:hAnsi="Arial"/>
          <w:b w:val="true"/>
          <w:sz w:val="30"/>
        </w:rPr>
        <w:t>8.1 团队组成</w:t>
      </w:r>
      <w:bookmarkEnd w:id="35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角色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人数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来源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项目负责人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NAC基金会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数据工程师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招聘/合作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数据科学家（宏观方向）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学术顾问+全职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ML工程师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内部转岗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密码学工程师（zk）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外部合作（Nexus）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安全工程师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内部审计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风险分析师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前投行风控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QA工程师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内部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总人力</w:t>
      </w:r>
      <w:r>
        <w:rPr>
          <w:rFonts w:eastAsia="等线" w:ascii="Arial" w:cs="Arial" w:hAnsi="Arial"/>
          <w:sz w:val="22"/>
        </w:rPr>
        <w:t>：16人，其中全职12人，顾问4人。</w:t>
      </w:r>
    </w:p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6" w:id="36"/>
      <w:r>
        <w:rPr>
          <w:rFonts w:eastAsia="等线" w:ascii="Arial" w:cs="Arial" w:hAnsi="Arial"/>
          <w:b w:val="true"/>
          <w:sz w:val="30"/>
        </w:rPr>
        <w:t>8.2 硬件预算</w:t>
      </w:r>
      <w:bookmarkEnd w:id="36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用途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规格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数量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估算成本（年）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模型训练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H100 80GB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$160,000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ZK证明生成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H100 80GB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$120,000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TEE节点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H100 80GB（CC模式）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$80,000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S3 + Glacier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$20,000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带宽/CDN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CloudFront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$10,000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合计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$390,000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7" w:id="37"/>
      <w:r>
        <w:rPr>
          <w:rFonts w:eastAsia="等线" w:ascii="Arial" w:cs="Arial" w:hAnsi="Arial"/>
          <w:b w:val="true"/>
          <w:sz w:val="30"/>
        </w:rPr>
        <w:t>8.3 软件栈</w:t>
      </w:r>
      <w:bookmarkEnd w:id="37"/>
    </w:p>
    <w:p>
      <w:pPr>
        <w:spacing w:before="120" w:after="120" w:line="288" w:lineRule="auto"/>
        <w:ind w:left="0"/>
        <w:jc w:val="left"/>
      </w:pP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数据流水线</w:t>
      </w:r>
      <w:r>
        <w:rPr>
          <w:rFonts w:eastAsia="等线" w:ascii="Arial" w:cs="Arial" w:hAnsi="Arial"/>
          <w:sz w:val="22"/>
        </w:rPr>
        <w:t>：Apache Airflow, Rust, Polars</w:t>
      </w:r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模型训练</w:t>
      </w:r>
      <w:r>
        <w:rPr>
          <w:rFonts w:eastAsia="等线" w:ascii="Arial" w:cs="Arial" w:hAnsi="Arial"/>
          <w:sz w:val="22"/>
        </w:rPr>
        <w:t>：PyTorch, HuggingFace Transformers, CUDA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ZK证明</w:t>
      </w:r>
      <w:r>
        <w:rPr>
          <w:rFonts w:eastAsia="等线" w:ascii="Arial" w:cs="Arial" w:hAnsi="Arial"/>
          <w:sz w:val="22"/>
        </w:rPr>
        <w:t>：Nexus zkMCP, Circom, SnarkJS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预言机</w:t>
      </w:r>
      <w:r>
        <w:rPr>
          <w:rFonts w:eastAsia="等线" w:ascii="Arial" w:cs="Arial" w:hAnsi="Arial"/>
          <w:sz w:val="22"/>
        </w:rPr>
        <w:t>：自研Rust节点, libp2p, BLS签名</w:t>
      </w:r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链上集成</w:t>
      </w:r>
      <w:r>
        <w:rPr>
          <w:rFonts w:eastAsia="等线" w:ascii="Arial" w:cs="Arial" w:hAnsi="Arial"/>
          <w:sz w:val="22"/>
        </w:rPr>
        <w:t>：Charter, NVM指令扩展（0xF0-0xFF）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8" w:id="38"/>
      <w:r>
        <w:rPr>
          <w:rFonts w:eastAsia="等线" w:ascii="Arial" w:cs="Arial" w:hAnsi="Arial"/>
          <w:b w:val="true"/>
          <w:sz w:val="32"/>
        </w:rPr>
        <w:t>第九部分：风险与缓解措施</w:t>
      </w:r>
      <w:bookmarkEnd w:id="38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可能性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影响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缓解措施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宏观数据发布延迟/修正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使用实时预测替代；损失函数容忍滞后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ZK证明生成时间过长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模型量化（INT8）；备用TEE路径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模型过拟合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严格时间序列交叉验证；A/B测试门槛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治理投票不通过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提前社区沟通；提供详尽模型卡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对手操纵宏观数据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极低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极高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多源验证；预言机聚合去权重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量子计算机威胁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极低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使用抗量子签名（Dilithium）备选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9" w:id="39"/>
      <w:r>
        <w:rPr>
          <w:rFonts w:eastAsia="等线" w:ascii="Arial" w:cs="Arial" w:hAnsi="Arial"/>
          <w:b w:val="true"/>
          <w:sz w:val="32"/>
        </w:rPr>
        <w:t>第十部分：宪法承诺</w:t>
      </w:r>
      <w:bookmarkEnd w:id="39"/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本实施蓝图已提交**NAC宪法法院**备案。模型v1.0上线后，以下数据将**永久公开**：</w:t>
      </w:r>
    </w:p>
    <w:p>
      <w:pPr>
        <w:spacing w:before="120" w:after="120" w:line="288" w:lineRule="auto"/>
        <w:ind w:left="0"/>
        <w:jc w:val="left"/>
      </w:pPr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每日宏观特征快照（原始+标准化）</w:t>
      </w:r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模型输出权重与商品偏离</w:t>
      </w:r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ZK证明验证密钥（vk）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压力测试完整报告</w:t>
      </w:r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预言机节点签名日志（脱敏）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任何违反透明承诺的行为，均构成**违宪**，宪法法院可强制暂停模型并追责。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XTZH不再是黑箱。它的每一次跳动，都来自可验证的宏观数据、可审计的AI模型、可追溯的链上治理。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NAC人工智能实验室</w:t>
      </w:r>
      <w:r>
        <w:rPr>
          <w:rFonts w:eastAsia="等线" w:ascii="Arial" w:cs="Arial" w:hAnsi="Arial"/>
          <w:sz w:val="22"/>
        </w:rPr>
        <w:t xml:space="preserve">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2026年2月12日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附件清单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附件A：特征全集详细定义（50维）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附件B：模型架构ONNX导出指南</w:t>
      </w:r>
    </w:p>
    <w:p>
      <w:pPr>
        <w:numPr>
          <w:numId w:val="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附件C：Nexus zkMCP编译器配置</w:t>
      </w:r>
    </w:p>
    <w:p>
      <w:pPr>
        <w:numPr>
          <w:numId w:val="8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附件D：预言机节点API规范</w:t>
      </w:r>
    </w:p>
    <w:p>
      <w:pPr>
        <w:numPr>
          <w:numId w:val="8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附件E：治理提案模板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本蓝图已通过NAC技术委员会初步评审，待宪法法院终审。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521998">
    <w:lvl>
      <w:start w:val="1"/>
      <w:numFmt w:val="decimal"/>
      <w:suff w:val="tab"/>
      <w:lvlText w:val="%1."/>
      <w:rPr>
        <w:color w:val="3370ff"/>
      </w:rPr>
    </w:lvl>
  </w:abstractNum>
  <w:abstractNum w:abstractNumId="1521999">
    <w:lvl>
      <w:start w:val="2"/>
      <w:numFmt w:val="decimal"/>
      <w:suff w:val="tab"/>
      <w:lvlText w:val="%1."/>
      <w:rPr>
        <w:color w:val="3370ff"/>
      </w:rPr>
    </w:lvl>
  </w:abstractNum>
  <w:abstractNum w:abstractNumId="1522000">
    <w:lvl>
      <w:start w:val="3"/>
      <w:numFmt w:val="decimal"/>
      <w:suff w:val="tab"/>
      <w:lvlText w:val="%1."/>
      <w:rPr>
        <w:color w:val="3370ff"/>
      </w:rPr>
    </w:lvl>
  </w:abstractNum>
  <w:abstractNum w:abstractNumId="1522001">
    <w:lvl>
      <w:start w:val="4"/>
      <w:numFmt w:val="decimal"/>
      <w:suff w:val="tab"/>
      <w:lvlText w:val="%1."/>
      <w:rPr>
        <w:color w:val="3370ff"/>
      </w:rPr>
    </w:lvl>
  </w:abstractNum>
  <w:abstractNum w:abstractNumId="1522002">
    <w:lvl>
      <w:numFmt w:val="bullet"/>
      <w:suff w:val="tab"/>
      <w:lvlText w:val="•"/>
      <w:rPr>
        <w:color w:val="3370ff"/>
      </w:rPr>
    </w:lvl>
  </w:abstractNum>
  <w:abstractNum w:abstractNumId="1522003">
    <w:lvl>
      <w:numFmt w:val="bullet"/>
      <w:suff w:val="tab"/>
      <w:lvlText w:val="•"/>
      <w:rPr>
        <w:color w:val="3370ff"/>
      </w:rPr>
    </w:lvl>
  </w:abstractNum>
  <w:abstractNum w:abstractNumId="1522004">
    <w:lvl>
      <w:numFmt w:val="bullet"/>
      <w:suff w:val="tab"/>
      <w:lvlText w:val="•"/>
      <w:rPr>
        <w:color w:val="3370ff"/>
      </w:rPr>
    </w:lvl>
  </w:abstractNum>
  <w:abstractNum w:abstractNumId="1522005">
    <w:lvl>
      <w:start w:val="1"/>
      <w:numFmt w:val="decimal"/>
      <w:suff w:val="tab"/>
      <w:lvlText w:val="%1."/>
      <w:rPr>
        <w:color w:val="3370ff"/>
      </w:rPr>
    </w:lvl>
  </w:abstractNum>
  <w:abstractNum w:abstractNumId="1522006">
    <w:lvl>
      <w:start w:val="2"/>
      <w:numFmt w:val="decimal"/>
      <w:suff w:val="tab"/>
      <w:lvlText w:val="%1."/>
      <w:rPr>
        <w:color w:val="3370ff"/>
      </w:rPr>
    </w:lvl>
  </w:abstractNum>
  <w:abstractNum w:abstractNumId="1522007">
    <w:lvl>
      <w:numFmt w:val="bullet"/>
      <w:suff w:val="tab"/>
      <w:lvlText w:val="￮"/>
      <w:rPr>
        <w:color w:val="3370ff"/>
      </w:rPr>
    </w:lvl>
  </w:abstractNum>
  <w:abstractNum w:abstractNumId="1522008">
    <w:lvl>
      <w:numFmt w:val="bullet"/>
      <w:suff w:val="tab"/>
      <w:lvlText w:val="￮"/>
      <w:rPr>
        <w:color w:val="3370ff"/>
      </w:rPr>
    </w:lvl>
  </w:abstractNum>
  <w:abstractNum w:abstractNumId="1522009">
    <w:lvl>
      <w:start w:val="3"/>
      <w:numFmt w:val="decimal"/>
      <w:suff w:val="tab"/>
      <w:lvlText w:val="%1."/>
      <w:rPr>
        <w:color w:val="3370ff"/>
      </w:rPr>
    </w:lvl>
  </w:abstractNum>
  <w:abstractNum w:abstractNumId="1522010">
    <w:lvl>
      <w:start w:val="4"/>
      <w:numFmt w:val="decimal"/>
      <w:suff w:val="tab"/>
      <w:lvlText w:val="%1."/>
      <w:rPr>
        <w:color w:val="3370ff"/>
      </w:rPr>
    </w:lvl>
  </w:abstractNum>
  <w:abstractNum w:abstractNumId="1522011">
    <w:lvl>
      <w:start w:val="5"/>
      <w:numFmt w:val="decimal"/>
      <w:suff w:val="tab"/>
      <w:lvlText w:val="%1."/>
      <w:rPr>
        <w:color w:val="3370ff"/>
      </w:rPr>
    </w:lvl>
  </w:abstractNum>
  <w:abstractNum w:abstractNumId="1522012">
    <w:lvl>
      <w:numFmt w:val="bullet"/>
      <w:suff w:val="tab"/>
      <w:lvlText w:val="•"/>
      <w:rPr>
        <w:color w:val="3370ff"/>
      </w:rPr>
    </w:lvl>
  </w:abstractNum>
  <w:abstractNum w:abstractNumId="1522013">
    <w:lvl>
      <w:numFmt w:val="bullet"/>
      <w:suff w:val="tab"/>
      <w:lvlText w:val="•"/>
      <w:rPr>
        <w:color w:val="3370ff"/>
      </w:rPr>
    </w:lvl>
  </w:abstractNum>
  <w:abstractNum w:abstractNumId="1522014">
    <w:lvl>
      <w:numFmt w:val="bullet"/>
      <w:suff w:val="tab"/>
      <w:lvlText w:val="•"/>
      <w:rPr>
        <w:color w:val="3370ff"/>
      </w:rPr>
    </w:lvl>
  </w:abstractNum>
  <w:abstractNum w:abstractNumId="1522015">
    <w:lvl>
      <w:numFmt w:val="bullet"/>
      <w:suff w:val="tab"/>
      <w:lvlText w:val="•"/>
      <w:rPr>
        <w:color w:val="3370ff"/>
      </w:rPr>
    </w:lvl>
  </w:abstractNum>
  <w:abstractNum w:abstractNumId="1522016">
    <w:lvl>
      <w:start w:val="1"/>
      <w:numFmt w:val="decimal"/>
      <w:suff w:val="tab"/>
      <w:lvlText w:val="%1."/>
      <w:rPr>
        <w:color w:val="3370ff"/>
      </w:rPr>
    </w:lvl>
  </w:abstractNum>
  <w:abstractNum w:abstractNumId="1522017">
    <w:lvl>
      <w:start w:val="2"/>
      <w:numFmt w:val="decimal"/>
      <w:suff w:val="tab"/>
      <w:lvlText w:val="%1."/>
      <w:rPr>
        <w:color w:val="3370ff"/>
      </w:rPr>
    </w:lvl>
  </w:abstractNum>
  <w:abstractNum w:abstractNumId="1522018">
    <w:lvl>
      <w:start w:val="3"/>
      <w:numFmt w:val="decimal"/>
      <w:suff w:val="tab"/>
      <w:lvlText w:val="%1."/>
      <w:rPr>
        <w:color w:val="3370ff"/>
      </w:rPr>
    </w:lvl>
  </w:abstractNum>
  <w:abstractNum w:abstractNumId="1522019">
    <w:lvl>
      <w:numFmt w:val="bullet"/>
      <w:suff w:val="tab"/>
      <w:lvlText w:val="•"/>
      <w:rPr>
        <w:color w:val="3370ff"/>
      </w:rPr>
    </w:lvl>
  </w:abstractNum>
  <w:abstractNum w:abstractNumId="1522020">
    <w:lvl>
      <w:numFmt w:val="bullet"/>
      <w:suff w:val="tab"/>
      <w:lvlText w:val="•"/>
      <w:rPr>
        <w:color w:val="3370ff"/>
      </w:rPr>
    </w:lvl>
  </w:abstractNum>
  <w:abstractNum w:abstractNumId="1522021">
    <w:lvl>
      <w:numFmt w:val="bullet"/>
      <w:suff w:val="tab"/>
      <w:lvlText w:val="•"/>
      <w:rPr>
        <w:color w:val="3370ff"/>
      </w:rPr>
    </w:lvl>
  </w:abstractNum>
  <w:abstractNum w:abstractNumId="1522022">
    <w:lvl>
      <w:numFmt w:val="bullet"/>
      <w:suff w:val="tab"/>
      <w:lvlText w:val="•"/>
      <w:rPr>
        <w:color w:val="3370ff"/>
      </w:rPr>
    </w:lvl>
  </w:abstractNum>
  <w:abstractNum w:abstractNumId="1522023">
    <w:lvl>
      <w:numFmt w:val="bullet"/>
      <w:suff w:val="tab"/>
      <w:lvlText w:val="•"/>
      <w:rPr>
        <w:color w:val="3370ff"/>
      </w:rPr>
    </w:lvl>
  </w:abstractNum>
  <w:abstractNum w:abstractNumId="1522024">
    <w:lvl>
      <w:numFmt w:val="bullet"/>
      <w:suff w:val="tab"/>
      <w:lvlText w:val="•"/>
      <w:rPr>
        <w:color w:val="3370ff"/>
      </w:rPr>
    </w:lvl>
  </w:abstractNum>
  <w:abstractNum w:abstractNumId="1522025">
    <w:lvl>
      <w:numFmt w:val="bullet"/>
      <w:suff w:val="tab"/>
      <w:lvlText w:val="•"/>
      <w:rPr>
        <w:color w:val="3370ff"/>
      </w:rPr>
    </w:lvl>
  </w:abstractNum>
  <w:abstractNum w:abstractNumId="1522026">
    <w:lvl>
      <w:numFmt w:val="bullet"/>
      <w:suff w:val="tab"/>
      <w:lvlText w:val="•"/>
      <w:rPr>
        <w:color w:val="3370ff"/>
      </w:rPr>
    </w:lvl>
  </w:abstractNum>
  <w:abstractNum w:abstractNumId="1522027">
    <w:lvl>
      <w:numFmt w:val="bullet"/>
      <w:suff w:val="tab"/>
      <w:lvlText w:val="•"/>
      <w:rPr>
        <w:color w:val="3370ff"/>
      </w:rPr>
    </w:lvl>
  </w:abstractNum>
  <w:abstractNum w:abstractNumId="1522028">
    <w:lvl>
      <w:numFmt w:val="bullet"/>
      <w:suff w:val="tab"/>
      <w:lvlText w:val="•"/>
      <w:rPr>
        <w:color w:val="3370ff"/>
      </w:rPr>
    </w:lvl>
  </w:abstractNum>
  <w:abstractNum w:abstractNumId="1522029">
    <w:lvl>
      <w:numFmt w:val="bullet"/>
      <w:suff w:val="tab"/>
      <w:lvlText w:val="•"/>
      <w:rPr>
        <w:color w:val="3370ff"/>
      </w:rPr>
    </w:lvl>
  </w:abstractNum>
  <w:abstractNum w:abstractNumId="1522030">
    <w:lvl>
      <w:numFmt w:val="bullet"/>
      <w:suff w:val="tab"/>
      <w:lvlText w:val="•"/>
      <w:rPr>
        <w:color w:val="3370ff"/>
      </w:rPr>
    </w:lvl>
  </w:abstractNum>
  <w:abstractNum w:abstractNumId="1522031">
    <w:lvl>
      <w:start w:val="1"/>
      <w:numFmt w:val="decimal"/>
      <w:suff w:val="tab"/>
      <w:lvlText w:val="%1."/>
      <w:rPr>
        <w:color w:val="3370ff"/>
      </w:rPr>
    </w:lvl>
  </w:abstractNum>
  <w:abstractNum w:abstractNumId="1522032">
    <w:lvl>
      <w:start w:val="2"/>
      <w:numFmt w:val="decimal"/>
      <w:suff w:val="tab"/>
      <w:lvlText w:val="%1."/>
      <w:rPr>
        <w:color w:val="3370ff"/>
      </w:rPr>
    </w:lvl>
  </w:abstractNum>
  <w:abstractNum w:abstractNumId="1522033">
    <w:lvl>
      <w:start w:val="3"/>
      <w:numFmt w:val="decimal"/>
      <w:suff w:val="tab"/>
      <w:lvlText w:val="%1."/>
      <w:rPr>
        <w:color w:val="3370ff"/>
      </w:rPr>
    </w:lvl>
  </w:abstractNum>
  <w:abstractNum w:abstractNumId="1522034">
    <w:lvl>
      <w:numFmt w:val="bullet"/>
      <w:suff w:val="tab"/>
      <w:lvlText w:val="•"/>
      <w:rPr>
        <w:color w:val="3370ff"/>
      </w:rPr>
    </w:lvl>
  </w:abstractNum>
  <w:abstractNum w:abstractNumId="1522035">
    <w:lvl>
      <w:numFmt w:val="bullet"/>
      <w:suff w:val="tab"/>
      <w:lvlText w:val="•"/>
      <w:rPr>
        <w:color w:val="3370ff"/>
      </w:rPr>
    </w:lvl>
  </w:abstractNum>
  <w:abstractNum w:abstractNumId="1522036">
    <w:lvl>
      <w:numFmt w:val="bullet"/>
      <w:suff w:val="tab"/>
      <w:lvlText w:val="•"/>
      <w:rPr>
        <w:color w:val="3370ff"/>
      </w:rPr>
    </w:lvl>
  </w:abstractNum>
  <w:abstractNum w:abstractNumId="1522037">
    <w:lvl>
      <w:numFmt w:val="bullet"/>
      <w:suff w:val="tab"/>
      <w:lvlText w:val="•"/>
      <w:rPr>
        <w:color w:val="3370ff"/>
      </w:rPr>
    </w:lvl>
  </w:abstractNum>
  <w:abstractNum w:abstractNumId="1522038">
    <w:lvl>
      <w:start w:val="1"/>
      <w:numFmt w:val="decimal"/>
      <w:suff w:val="tab"/>
      <w:lvlText w:val="%1."/>
      <w:rPr>
        <w:color w:val="3370ff"/>
      </w:rPr>
    </w:lvl>
  </w:abstractNum>
  <w:abstractNum w:abstractNumId="1522039">
    <w:lvl>
      <w:start w:val="2"/>
      <w:numFmt w:val="decimal"/>
      <w:suff w:val="tab"/>
      <w:lvlText w:val="%1."/>
      <w:rPr>
        <w:color w:val="3370ff"/>
      </w:rPr>
    </w:lvl>
  </w:abstractNum>
  <w:abstractNum w:abstractNumId="1522040">
    <w:lvl>
      <w:start w:val="3"/>
      <w:numFmt w:val="decimal"/>
      <w:suff w:val="tab"/>
      <w:lvlText w:val="%1."/>
      <w:rPr>
        <w:color w:val="3370ff"/>
      </w:rPr>
    </w:lvl>
  </w:abstractNum>
  <w:abstractNum w:abstractNumId="1522041">
    <w:lvl>
      <w:start w:val="4"/>
      <w:numFmt w:val="decimal"/>
      <w:suff w:val="tab"/>
      <w:lvlText w:val="%1."/>
      <w:rPr>
        <w:color w:val="3370ff"/>
      </w:rPr>
    </w:lvl>
  </w:abstractNum>
  <w:abstractNum w:abstractNumId="1522042">
    <w:lvl>
      <w:start w:val="5"/>
      <w:numFmt w:val="decimal"/>
      <w:suff w:val="tab"/>
      <w:lvlText w:val="%1."/>
      <w:rPr>
        <w:color w:val="3370ff"/>
      </w:rPr>
    </w:lvl>
  </w:abstractNum>
  <w:abstractNum w:abstractNumId="1522043">
    <w:lvl>
      <w:start w:val="6"/>
      <w:numFmt w:val="decimal"/>
      <w:suff w:val="tab"/>
      <w:lvlText w:val="%1."/>
      <w:rPr>
        <w:color w:val="3370ff"/>
      </w:rPr>
    </w:lvl>
  </w:abstractNum>
  <w:abstractNum w:abstractNumId="1522044">
    <w:lvl>
      <w:numFmt w:val="bullet"/>
      <w:suff w:val="tab"/>
      <w:lvlText w:val="•"/>
      <w:rPr>
        <w:color w:val="3370ff"/>
      </w:rPr>
    </w:lvl>
  </w:abstractNum>
  <w:abstractNum w:abstractNumId="1522045">
    <w:lvl>
      <w:numFmt w:val="bullet"/>
      <w:suff w:val="tab"/>
      <w:lvlText w:val="•"/>
      <w:rPr>
        <w:color w:val="3370ff"/>
      </w:rPr>
    </w:lvl>
  </w:abstractNum>
  <w:abstractNum w:abstractNumId="1522046">
    <w:lvl>
      <w:numFmt w:val="bullet"/>
      <w:suff w:val="tab"/>
      <w:lvlText w:val="•"/>
      <w:rPr>
        <w:color w:val="3370ff"/>
      </w:rPr>
    </w:lvl>
  </w:abstractNum>
  <w:abstractNum w:abstractNumId="1522047">
    <w:lvl>
      <w:numFmt w:val="bullet"/>
      <w:suff w:val="tab"/>
      <w:lvlText w:val="•"/>
      <w:rPr>
        <w:color w:val="3370ff"/>
      </w:rPr>
    </w:lvl>
  </w:abstractNum>
  <w:abstractNum w:abstractNumId="1522048">
    <w:lvl>
      <w:numFmt w:val="bullet"/>
      <w:suff w:val="tab"/>
      <w:lvlText w:val="•"/>
      <w:rPr>
        <w:color w:val="3370ff"/>
      </w:rPr>
    </w:lvl>
  </w:abstractNum>
  <w:abstractNum w:abstractNumId="1522049">
    <w:lvl>
      <w:numFmt w:val="bullet"/>
      <w:suff w:val="tab"/>
      <w:lvlText w:val="•"/>
      <w:rPr>
        <w:color w:val="3370ff"/>
      </w:rPr>
    </w:lvl>
  </w:abstractNum>
  <w:abstractNum w:abstractNumId="1522050">
    <w:lvl>
      <w:numFmt w:val="bullet"/>
      <w:suff w:val="tab"/>
      <w:lvlText w:val="•"/>
      <w:rPr>
        <w:color w:val="3370ff"/>
      </w:rPr>
    </w:lvl>
  </w:abstractNum>
  <w:abstractNum w:abstractNumId="1522051">
    <w:lvl>
      <w:numFmt w:val="bullet"/>
      <w:suff w:val="tab"/>
      <w:lvlText w:val="•"/>
      <w:rPr>
        <w:color w:val="3370ff"/>
      </w:rPr>
    </w:lvl>
  </w:abstractNum>
  <w:abstractNum w:abstractNumId="1522052">
    <w:lvl>
      <w:start w:val="1"/>
      <w:numFmt w:val="decimal"/>
      <w:suff w:val="tab"/>
      <w:lvlText w:val="%1."/>
      <w:rPr>
        <w:color w:val="3370ff"/>
      </w:rPr>
    </w:lvl>
  </w:abstractNum>
  <w:abstractNum w:abstractNumId="1522053">
    <w:lvl>
      <w:start w:val="2"/>
      <w:numFmt w:val="decimal"/>
      <w:suff w:val="tab"/>
      <w:lvlText w:val="%1."/>
      <w:rPr>
        <w:color w:val="3370ff"/>
      </w:rPr>
    </w:lvl>
  </w:abstractNum>
  <w:abstractNum w:abstractNumId="1522054">
    <w:lvl>
      <w:start w:val="3"/>
      <w:numFmt w:val="decimal"/>
      <w:suff w:val="tab"/>
      <w:lvlText w:val="%1."/>
      <w:rPr>
        <w:color w:val="3370ff"/>
      </w:rPr>
    </w:lvl>
  </w:abstractNum>
  <w:abstractNum w:abstractNumId="1522055">
    <w:lvl>
      <w:start w:val="4"/>
      <w:numFmt w:val="decimal"/>
      <w:suff w:val="tab"/>
      <w:lvlText w:val="%1."/>
      <w:rPr>
        <w:color w:val="3370ff"/>
      </w:rPr>
    </w:lvl>
  </w:abstractNum>
  <w:abstractNum w:abstractNumId="1522056">
    <w:lvl>
      <w:start w:val="5"/>
      <w:numFmt w:val="decimal"/>
      <w:suff w:val="tab"/>
      <w:lvlText w:val="%1."/>
      <w:rPr>
        <w:color w:val="3370ff"/>
      </w:rPr>
    </w:lvl>
  </w:abstractNum>
  <w:abstractNum w:abstractNumId="1522057">
    <w:lvl>
      <w:start w:val="6"/>
      <w:numFmt w:val="decimal"/>
      <w:suff w:val="tab"/>
      <w:lvlText w:val="%1."/>
      <w:rPr>
        <w:color w:val="3370ff"/>
      </w:rPr>
    </w:lvl>
  </w:abstractNum>
  <w:abstractNum w:abstractNumId="1522058">
    <w:lvl>
      <w:numFmt w:val="bullet"/>
      <w:suff w:val="tab"/>
      <w:lvlText w:val="•"/>
      <w:rPr>
        <w:color w:val="3370ff"/>
      </w:rPr>
    </w:lvl>
  </w:abstractNum>
  <w:abstractNum w:abstractNumId="1522059">
    <w:lvl>
      <w:numFmt w:val="bullet"/>
      <w:suff w:val="tab"/>
      <w:lvlText w:val="•"/>
      <w:rPr>
        <w:color w:val="3370ff"/>
      </w:rPr>
    </w:lvl>
  </w:abstractNum>
  <w:abstractNum w:abstractNumId="1522060">
    <w:lvl>
      <w:numFmt w:val="bullet"/>
      <w:suff w:val="tab"/>
      <w:lvlText w:val="•"/>
      <w:rPr>
        <w:color w:val="3370ff"/>
      </w:rPr>
    </w:lvl>
  </w:abstractNum>
  <w:abstractNum w:abstractNumId="1522061">
    <w:lvl>
      <w:numFmt w:val="bullet"/>
      <w:suff w:val="tab"/>
      <w:lvlText w:val="•"/>
      <w:rPr>
        <w:color w:val="3370ff"/>
      </w:rPr>
    </w:lvl>
  </w:abstractNum>
  <w:abstractNum w:abstractNumId="1522062">
    <w:lvl>
      <w:numFmt w:val="bullet"/>
      <w:suff w:val="tab"/>
      <w:lvlText w:val="•"/>
      <w:rPr>
        <w:color w:val="3370ff"/>
      </w:rPr>
    </w:lvl>
  </w:abstractNum>
  <w:abstractNum w:abstractNumId="1522063">
    <w:lvl>
      <w:numFmt w:val="bullet"/>
      <w:suff w:val="tab"/>
      <w:lvlText w:val="•"/>
      <w:rPr>
        <w:color w:val="3370ff"/>
      </w:rPr>
    </w:lvl>
  </w:abstractNum>
  <w:abstractNum w:abstractNumId="1522064">
    <w:lvl>
      <w:numFmt w:val="bullet"/>
      <w:suff w:val="tab"/>
      <w:lvlText w:val="•"/>
      <w:rPr>
        <w:color w:val="3370ff"/>
      </w:rPr>
    </w:lvl>
  </w:abstractNum>
  <w:abstractNum w:abstractNumId="1522065">
    <w:lvl>
      <w:numFmt w:val="bullet"/>
      <w:suff w:val="tab"/>
      <w:lvlText w:val="•"/>
      <w:rPr>
        <w:color w:val="3370ff"/>
      </w:rPr>
    </w:lvl>
  </w:abstractNum>
  <w:abstractNum w:abstractNumId="1522066">
    <w:lvl>
      <w:numFmt w:val="bullet"/>
      <w:suff w:val="tab"/>
      <w:lvlText w:val="•"/>
      <w:rPr>
        <w:color w:val="3370ff"/>
      </w:rPr>
    </w:lvl>
  </w:abstractNum>
  <w:abstractNum w:abstractNumId="1522067">
    <w:lvl>
      <w:numFmt w:val="bullet"/>
      <w:suff w:val="tab"/>
      <w:lvlText w:val="•"/>
      <w:rPr>
        <w:color w:val="3370ff"/>
      </w:rPr>
    </w:lvl>
  </w:abstractNum>
  <w:abstractNum w:abstractNumId="1522068">
    <w:lvl>
      <w:numFmt w:val="bullet"/>
      <w:suff w:val="tab"/>
      <w:lvlText w:val="•"/>
      <w:rPr>
        <w:color w:val="3370ff"/>
      </w:rPr>
    </w:lvl>
  </w:abstractNum>
  <w:abstractNum w:abstractNumId="1522069">
    <w:lvl>
      <w:numFmt w:val="bullet"/>
      <w:suff w:val="tab"/>
      <w:lvlText w:val="•"/>
      <w:rPr>
        <w:color w:val="3370ff"/>
      </w:rPr>
    </w:lvl>
  </w:abstractNum>
  <w:abstractNum w:abstractNumId="1522070">
    <w:lvl>
      <w:numFmt w:val="bullet"/>
      <w:suff w:val="tab"/>
      <w:lvlText w:val="•"/>
      <w:rPr>
        <w:color w:val="3370ff"/>
      </w:rPr>
    </w:lvl>
  </w:abstractNum>
  <w:abstractNum w:abstractNumId="1522071">
    <w:lvl>
      <w:numFmt w:val="bullet"/>
      <w:suff w:val="tab"/>
      <w:lvlText w:val="•"/>
      <w:rPr>
        <w:color w:val="3370ff"/>
      </w:rPr>
    </w:lvl>
  </w:abstractNum>
  <w:abstractNum w:abstractNumId="1522072">
    <w:lvl>
      <w:numFmt w:val="bullet"/>
      <w:suff w:val="tab"/>
      <w:lvlText w:val="•"/>
      <w:rPr>
        <w:color w:val="3370ff"/>
      </w:rPr>
    </w:lvl>
  </w:abstractNum>
  <w:abstractNum w:abstractNumId="1522073">
    <w:lvl>
      <w:numFmt w:val="bullet"/>
      <w:suff w:val="tab"/>
      <w:lvlText w:val="•"/>
      <w:rPr>
        <w:color w:val="3370ff"/>
      </w:rPr>
    </w:lvl>
  </w:abstractNum>
  <w:abstractNum w:abstractNumId="1522074">
    <w:lvl>
      <w:start w:val="1"/>
      <w:numFmt w:val="decimal"/>
      <w:suff w:val="tab"/>
      <w:lvlText w:val="%1."/>
      <w:rPr>
        <w:color w:val="3370ff"/>
      </w:rPr>
    </w:lvl>
  </w:abstractNum>
  <w:abstractNum w:abstractNumId="1522075">
    <w:lvl>
      <w:start w:val="2"/>
      <w:numFmt w:val="decimal"/>
      <w:suff w:val="tab"/>
      <w:lvlText w:val="%1."/>
      <w:rPr>
        <w:color w:val="3370ff"/>
      </w:rPr>
    </w:lvl>
  </w:abstractNum>
  <w:abstractNum w:abstractNumId="1522076">
    <w:lvl>
      <w:start w:val="3"/>
      <w:numFmt w:val="decimal"/>
      <w:suff w:val="tab"/>
      <w:lvlText w:val="%1."/>
      <w:rPr>
        <w:color w:val="3370ff"/>
      </w:rPr>
    </w:lvl>
  </w:abstractNum>
  <w:abstractNum w:abstractNumId="1522077">
    <w:lvl>
      <w:start w:val="4"/>
      <w:numFmt w:val="decimal"/>
      <w:suff w:val="tab"/>
      <w:lvlText w:val="%1."/>
      <w:rPr>
        <w:color w:val="3370ff"/>
      </w:rPr>
    </w:lvl>
  </w:abstractNum>
  <w:abstractNum w:abstractNumId="1522078">
    <w:lvl>
      <w:start w:val="5"/>
      <w:numFmt w:val="decimal"/>
      <w:suff w:val="tab"/>
      <w:lvlText w:val="%1."/>
      <w:rPr>
        <w:color w:val="3370ff"/>
      </w:rPr>
    </w:lvl>
  </w:abstractNum>
  <w:abstractNum w:abstractNumId="1522079">
    <w:lvl>
      <w:start w:val="6"/>
      <w:numFmt w:val="decimal"/>
      <w:suff w:val="tab"/>
      <w:lvlText w:val="%1."/>
      <w:rPr>
        <w:color w:val="3370ff"/>
      </w:rPr>
    </w:lvl>
  </w:abstractNum>
  <w:abstractNum w:abstractNumId="1522080">
    <w:lvl>
      <w:start w:val="7"/>
      <w:numFmt w:val="decimal"/>
      <w:suff w:val="tab"/>
      <w:lvlText w:val="%1."/>
      <w:rPr>
        <w:color w:val="3370ff"/>
      </w:rPr>
    </w:lvl>
  </w:abstractNum>
  <w:abstractNum w:abstractNumId="1522081">
    <w:lvl>
      <w:start w:val="8"/>
      <w:numFmt w:val="decimal"/>
      <w:suff w:val="tab"/>
      <w:lvlText w:val="%1."/>
      <w:rPr>
        <w:color w:val="3370ff"/>
      </w:rPr>
    </w:lvl>
  </w:abstractNum>
  <w:abstractNum w:abstractNumId="1522082">
    <w:lvl>
      <w:start w:val="9"/>
      <w:numFmt w:val="decimal"/>
      <w:suff w:val="tab"/>
      <w:lvlText w:val="%1."/>
      <w:rPr>
        <w:color w:val="3370ff"/>
      </w:rPr>
    </w:lvl>
  </w:abstractNum>
  <w:abstractNum w:abstractNumId="1522083">
    <w:lvl>
      <w:start w:val="10"/>
      <w:numFmt w:val="decimal"/>
      <w:suff w:val="tab"/>
      <w:lvlText w:val="%1."/>
      <w:rPr>
        <w:color w:val="3370ff"/>
      </w:rPr>
    </w:lvl>
  </w:abstractNum>
  <w:num w:numId="1">
    <w:abstractNumId w:val="1521998"/>
  </w:num>
  <w:num w:numId="2">
    <w:abstractNumId w:val="1521999"/>
  </w:num>
  <w:num w:numId="3">
    <w:abstractNumId w:val="1522000"/>
  </w:num>
  <w:num w:numId="4">
    <w:abstractNumId w:val="1522001"/>
  </w:num>
  <w:num w:numId="5">
    <w:abstractNumId w:val="1522002"/>
  </w:num>
  <w:num w:numId="6">
    <w:abstractNumId w:val="1522003"/>
  </w:num>
  <w:num w:numId="7">
    <w:abstractNumId w:val="1522004"/>
  </w:num>
  <w:num w:numId="8">
    <w:abstractNumId w:val="1522005"/>
  </w:num>
  <w:num w:numId="9">
    <w:abstractNumId w:val="1522006"/>
  </w:num>
  <w:num w:numId="10">
    <w:abstractNumId w:val="1522007"/>
  </w:num>
  <w:num w:numId="11">
    <w:abstractNumId w:val="1522008"/>
  </w:num>
  <w:num w:numId="12">
    <w:abstractNumId w:val="1522009"/>
  </w:num>
  <w:num w:numId="13">
    <w:abstractNumId w:val="1522010"/>
  </w:num>
  <w:num w:numId="14">
    <w:abstractNumId w:val="1522011"/>
  </w:num>
  <w:num w:numId="15">
    <w:abstractNumId w:val="1522012"/>
  </w:num>
  <w:num w:numId="16">
    <w:abstractNumId w:val="1522013"/>
  </w:num>
  <w:num w:numId="17">
    <w:abstractNumId w:val="1522014"/>
  </w:num>
  <w:num w:numId="18">
    <w:abstractNumId w:val="1522015"/>
  </w:num>
  <w:num w:numId="19">
    <w:abstractNumId w:val="1522016"/>
  </w:num>
  <w:num w:numId="20">
    <w:abstractNumId w:val="1522017"/>
  </w:num>
  <w:num w:numId="21">
    <w:abstractNumId w:val="1522018"/>
  </w:num>
  <w:num w:numId="22">
    <w:abstractNumId w:val="1522019"/>
  </w:num>
  <w:num w:numId="23">
    <w:abstractNumId w:val="1522020"/>
  </w:num>
  <w:num w:numId="24">
    <w:abstractNumId w:val="1522021"/>
  </w:num>
  <w:num w:numId="25">
    <w:abstractNumId w:val="1522022"/>
  </w:num>
  <w:num w:numId="26">
    <w:abstractNumId w:val="1522023"/>
  </w:num>
  <w:num w:numId="27">
    <w:abstractNumId w:val="1522024"/>
  </w:num>
  <w:num w:numId="28">
    <w:abstractNumId w:val="1522025"/>
  </w:num>
  <w:num w:numId="29">
    <w:abstractNumId w:val="1522026"/>
  </w:num>
  <w:num w:numId="30">
    <w:abstractNumId w:val="1522027"/>
  </w:num>
  <w:num w:numId="31">
    <w:abstractNumId w:val="1522028"/>
  </w:num>
  <w:num w:numId="32">
    <w:abstractNumId w:val="1522029"/>
  </w:num>
  <w:num w:numId="33">
    <w:abstractNumId w:val="1522030"/>
  </w:num>
  <w:num w:numId="34">
    <w:abstractNumId w:val="1522031"/>
  </w:num>
  <w:num w:numId="35">
    <w:abstractNumId w:val="1522032"/>
  </w:num>
  <w:num w:numId="36">
    <w:abstractNumId w:val="1522033"/>
  </w:num>
  <w:num w:numId="37">
    <w:abstractNumId w:val="1522034"/>
  </w:num>
  <w:num w:numId="38">
    <w:abstractNumId w:val="1522035"/>
  </w:num>
  <w:num w:numId="39">
    <w:abstractNumId w:val="1522036"/>
  </w:num>
  <w:num w:numId="40">
    <w:abstractNumId w:val="1522037"/>
  </w:num>
  <w:num w:numId="41">
    <w:abstractNumId w:val="1522038"/>
  </w:num>
  <w:num w:numId="42">
    <w:abstractNumId w:val="1522039"/>
  </w:num>
  <w:num w:numId="43">
    <w:abstractNumId w:val="1522040"/>
  </w:num>
  <w:num w:numId="44">
    <w:abstractNumId w:val="1522041"/>
  </w:num>
  <w:num w:numId="45">
    <w:abstractNumId w:val="1522042"/>
  </w:num>
  <w:num w:numId="46">
    <w:abstractNumId w:val="1522043"/>
  </w:num>
  <w:num w:numId="47">
    <w:abstractNumId w:val="1522044"/>
  </w:num>
  <w:num w:numId="48">
    <w:abstractNumId w:val="1522045"/>
  </w:num>
  <w:num w:numId="49">
    <w:abstractNumId w:val="1522046"/>
  </w:num>
  <w:num w:numId="50">
    <w:abstractNumId w:val="1522047"/>
  </w:num>
  <w:num w:numId="51">
    <w:abstractNumId w:val="1522048"/>
  </w:num>
  <w:num w:numId="52">
    <w:abstractNumId w:val="1522049"/>
  </w:num>
  <w:num w:numId="53">
    <w:abstractNumId w:val="1522050"/>
  </w:num>
  <w:num w:numId="54">
    <w:abstractNumId w:val="1522051"/>
  </w:num>
  <w:num w:numId="55">
    <w:abstractNumId w:val="1522052"/>
  </w:num>
  <w:num w:numId="56">
    <w:abstractNumId w:val="1522053"/>
  </w:num>
  <w:num w:numId="57">
    <w:abstractNumId w:val="1522054"/>
  </w:num>
  <w:num w:numId="58">
    <w:abstractNumId w:val="1522055"/>
  </w:num>
  <w:num w:numId="59">
    <w:abstractNumId w:val="1522056"/>
  </w:num>
  <w:num w:numId="60">
    <w:abstractNumId w:val="1522057"/>
  </w:num>
  <w:num w:numId="61">
    <w:abstractNumId w:val="1522058"/>
  </w:num>
  <w:num w:numId="62">
    <w:abstractNumId w:val="1522059"/>
  </w:num>
  <w:num w:numId="63">
    <w:abstractNumId w:val="1522060"/>
  </w:num>
  <w:num w:numId="64">
    <w:abstractNumId w:val="1522061"/>
  </w:num>
  <w:num w:numId="65">
    <w:abstractNumId w:val="1522062"/>
  </w:num>
  <w:num w:numId="66">
    <w:abstractNumId w:val="1522063"/>
  </w:num>
  <w:num w:numId="67">
    <w:abstractNumId w:val="1522064"/>
  </w:num>
  <w:num w:numId="68">
    <w:abstractNumId w:val="1522065"/>
  </w:num>
  <w:num w:numId="69">
    <w:abstractNumId w:val="1522066"/>
  </w:num>
  <w:num w:numId="70">
    <w:abstractNumId w:val="1522067"/>
  </w:num>
  <w:num w:numId="71">
    <w:abstractNumId w:val="1522068"/>
  </w:num>
  <w:num w:numId="72">
    <w:abstractNumId w:val="1522069"/>
  </w:num>
  <w:num w:numId="73">
    <w:abstractNumId w:val="1522070"/>
  </w:num>
  <w:num w:numId="74">
    <w:abstractNumId w:val="1522071"/>
  </w:num>
  <w:num w:numId="75">
    <w:abstractNumId w:val="1522072"/>
  </w:num>
  <w:num w:numId="76">
    <w:abstractNumId w:val="1522073"/>
  </w:num>
  <w:num w:numId="77">
    <w:abstractNumId w:val="1522074"/>
  </w:num>
  <w:num w:numId="78">
    <w:abstractNumId w:val="1522075"/>
  </w:num>
  <w:num w:numId="79">
    <w:abstractNumId w:val="1522076"/>
  </w:num>
  <w:num w:numId="80">
    <w:abstractNumId w:val="1522077"/>
  </w:num>
  <w:num w:numId="81">
    <w:abstractNumId w:val="1522078"/>
  </w:num>
  <w:num w:numId="82">
    <w:abstractNumId w:val="1522079"/>
  </w:num>
  <w:num w:numId="83">
    <w:abstractNumId w:val="1522080"/>
  </w:num>
  <w:num w:numId="84">
    <w:abstractNumId w:val="1522081"/>
  </w:num>
  <w:num w:numId="85">
    <w:abstractNumId w:val="1522082"/>
  </w:num>
  <w:num w:numId="86">
    <w:abstractNumId w:val="1522083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2026-02-12T12:46:00Z</dcterms:created>
  <dc:creator>Apache POI</dc:creator>
</cp:coreProperties>
</file>