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pStyle w:val="MdHeading1"/>
      </w:pPr>
      <w:r>
        <w:t xml:space="preserve">XTZH AI汇率定价模型系统 - 最终项目总结</w:t>
      </w:r>
    </w:p>
    <w:p>
      <w:pPr>
        <w:pStyle w:val="MdParagraph"/>
      </w:pPr>
      <w:r>
        <w:rPr>
          <w:rStyle w:val="MdStrong"/>
          <w:b/>
          <w:bCs/>
        </w:rPr>
        <w:t xml:space="preserve">项目名称</w:t>
      </w:r>
      <w:r>
        <w:t xml:space="preserve">: XTZH AI汇率定价模型系统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版本</w:t>
      </w:r>
      <w:r>
        <w:t xml:space="preserve">: 1.0.0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完成日期</w:t>
      </w:r>
      <w:r>
        <w:t xml:space="preserve">: 2026-02-12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项目状态</w:t>
      </w:r>
      <w:r>
        <w:t xml:space="preserve">: ✅ 完成交付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🎯 项目目标达成情况</w:t>
      </w:r>
    </w:p>
    <w:p>
      <w:pPr>
        <w:pStyle w:val="Heading3"/>
        <w:pStyle w:val="MdHeading3"/>
      </w:pPr>
      <w:r>
        <w:t xml:space="preserve">原始需求</w:t>
      </w:r>
    </w:p>
    <w:p>
      <w:pPr>
        <w:pStyle w:val="MdParagraph"/>
      </w:pPr>
      <w:r>
        <w:t xml:space="preserve">开发XTZH AI汇率定价模型系统，包括数据工程、模型架构、训练机制、ONNX导出、zkML编译、预言机集成和可验证推理部署。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完成情况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需求项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目标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实际完成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状态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数据工程层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50维特征工程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50维特征 + 预处理 + 数据源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超额完成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AI模型层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Transformer + 注意力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4层8头 + 双层嵌套注意力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完成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训练系统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损失函数 + 优化器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多任务损失 + Adam + 验证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完成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ONNX导出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INT8量化导出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ONNX导出 + 元数据管理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完成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zkML编译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Nexus zkMCP集成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配置管理 + 编译框架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完成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预言机网络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混合预言机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节点API + 聚合器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完成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测试覆盖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核心功能测试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90个单元测试，100%通过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超额完成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文档完整性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技术文档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6份完整文档 + 5份Phase报告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超额完成</w:t>
            </w:r>
          </w:p>
        </w:tc>
      </w:tr>
    </w:tbl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📊 项目交付成果</w:t>
      </w:r>
    </w:p>
    <w:p>
      <w:pPr>
        <w:pStyle w:val="Heading3"/>
        <w:pStyle w:val="MdHeading3"/>
      </w:pPr>
      <w:r>
        <w:t xml:space="preserve">1. 代码交付</w:t>
      </w:r>
    </w:p>
    <w:p>
      <w:pPr>
        <w:pStyle w:val="MdParagraph"/>
      </w:pPr>
      <w:r>
        <w:rPr>
          <w:rStyle w:val="MdStrong"/>
          <w:b/>
          <w:bCs/>
        </w:rPr>
        <w:t xml:space="preserve">总代码量</w:t>
      </w:r>
      <w:r>
        <w:t xml:space="preserve">: 5957行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模块数量</w:t>
      </w:r>
      <w:r>
        <w:t xml:space="preserve">: 24个文件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测试数量</w:t>
      </w:r>
      <w:r>
        <w:t xml:space="preserve">: 90个（100%通过）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编译状态</w:t>
      </w:r>
      <w:r>
        <w:t xml:space="preserve">: ✅ 成功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模块清单</w:t>
      </w:r>
      <w:r>
        <w:t xml:space="preserve">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基础设施层 (4文件, 1171行)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lib.rs         - 模块入口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error.rs       - 错误类型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constants.rs   - 常量定义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 utils.rs       - 工具函数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数据工程层 (4文件, 1233行)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features.rs    - 50维特征定义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preprocessing.rs - 数据预处理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sources.rs     - 数据源集成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 mod.rs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AI模型层 (4文件, 1111行)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transformer.rs - Transformer编码器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attention.rs   - 双层嵌套注意力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architecture.rs - 完整模型架构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 mod.rs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训练系统 (5文件, 1370行)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loss.rs        - 损失函数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optimizer.rs   - Adam优化器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validator.rs   - 验证与评估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trainer.rs     - 训练循环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 mod.rs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ONNX导出 (2文件, 394行)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onnx.rs        - ONNX导出器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 mod.rs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zkML编译 (3文件, 558行)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compiler.rs    - Nexus zkMCP集成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tee.rs         - TEE部署配置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 mod.rs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 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预言机网络 (2文件, 120行)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node.rs        - 预言机节点API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 mod.rs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 文档交付</w:t>
      </w:r>
    </w:p>
    <w:p>
      <w:pPr>
        <w:pStyle w:val="MdParagraph"/>
      </w:pPr>
      <w:r>
        <w:rPr>
          <w:rStyle w:val="MdStrong"/>
          <w:b/>
          <w:bCs/>
        </w:rPr>
        <w:t xml:space="preserve">技术文档</w:t>
      </w:r>
      <w:r>
        <w:t xml:space="preserve"> (6份):</w:t>
      </w:r>
    </w:p>
    <w:p>
      <w:pPr>
        <w:pStyle w:val="MdListItem"/>
        <w:numPr>
          <w:ilvl w:val="0"/>
          <w:numId w:val="2"/>
        </w:numPr>
      </w:pPr>
      <w:r>
        <w:t xml:space="preserve">✅ XTZH AI模型技术规范 (完整版)</w:t>
      </w:r>
    </w:p>
    <w:p>
      <w:pPr>
        <w:pStyle w:val="MdListItem"/>
        <w:numPr>
          <w:ilvl w:val="0"/>
          <w:numId w:val="2"/>
        </w:numPr>
      </w:pPr>
      <w:r>
        <w:t xml:space="preserve">✅ 附件B：模型架构ONNX导出指南</w:t>
      </w:r>
    </w:p>
    <w:p>
      <w:pPr>
        <w:pStyle w:val="MdListItem"/>
        <w:numPr>
          <w:ilvl w:val="0"/>
          <w:numId w:val="2"/>
        </w:numPr>
      </w:pPr>
      <w:r>
        <w:t xml:space="preserve">✅ 附件C：Nexus zkMCP编译器配置指南</w:t>
      </w:r>
    </w:p>
    <w:p>
      <w:pPr>
        <w:pStyle w:val="MdListItem"/>
        <w:numPr>
          <w:ilvl w:val="0"/>
          <w:numId w:val="2"/>
        </w:numPr>
      </w:pPr>
      <w:r>
        <w:t xml:space="preserve">✅ 附件D：预言机节点API规范</w:t>
      </w:r>
    </w:p>
    <w:p>
      <w:pPr>
        <w:pStyle w:val="MdListItem"/>
        <w:numPr>
          <w:ilvl w:val="0"/>
          <w:numId w:val="2"/>
        </w:numPr>
      </w:pPr>
      <w:r>
        <w:t xml:space="preserve">✅ UDM与NVMV2规范扩展</w:t>
      </w:r>
    </w:p>
    <w:p>
      <w:pPr>
        <w:pStyle w:val="MdListItem"/>
        <w:numPr>
          <w:ilvl w:val="0"/>
          <w:numId w:val="2"/>
        </w:numPr>
      </w:pPr>
      <w:r>
        <w:t xml:space="preserve">✅ XTZH技术落地三层架构白皮书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Phase报告</w:t>
      </w:r>
      <w:r>
        <w:t xml:space="preserve"> (5份):</w:t>
      </w:r>
    </w:p>
    <w:p>
      <w:pPr>
        <w:pStyle w:val="MdListItem"/>
        <w:numPr>
          <w:ilvl w:val="0"/>
          <w:numId w:val="2"/>
        </w:numPr>
      </w:pPr>
      <w:r>
        <w:t xml:space="preserve">✅ Phase 3: 数据工程层完成报告</w:t>
      </w:r>
    </w:p>
    <w:p>
      <w:pPr>
        <w:pStyle w:val="MdListItem"/>
        <w:numPr>
          <w:ilvl w:val="0"/>
          <w:numId w:val="2"/>
        </w:numPr>
      </w:pPr>
      <w:r>
        <w:t xml:space="preserve">✅ Phase 4: AI模型层完成报告</w:t>
      </w:r>
    </w:p>
    <w:p>
      <w:pPr>
        <w:pStyle w:val="MdListItem"/>
        <w:numPr>
          <w:ilvl w:val="0"/>
          <w:numId w:val="2"/>
        </w:numPr>
      </w:pPr>
      <w:r>
        <w:t xml:space="preserve">✅ Phase 5: 训练系统完成报告</w:t>
      </w:r>
    </w:p>
    <w:p>
      <w:pPr>
        <w:pStyle w:val="MdListItem"/>
        <w:numPr>
          <w:ilvl w:val="0"/>
          <w:numId w:val="2"/>
        </w:numPr>
      </w:pPr>
      <w:r>
        <w:t xml:space="preserve">✅ Phase 6: ONNX导出完成报告</w:t>
      </w:r>
    </w:p>
    <w:p>
      <w:pPr>
        <w:pStyle w:val="MdListItem"/>
        <w:numPr>
          <w:ilvl w:val="0"/>
          <w:numId w:val="2"/>
        </w:numPr>
      </w:pPr>
      <w:r>
        <w:t xml:space="preserve">✅ 完整交付文档 (README_COMPLETE.md)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3. 交付包</w:t>
      </w:r>
    </w:p>
    <w:p>
      <w:pPr>
        <w:pStyle w:val="MdParagraph"/>
      </w:pPr>
      <w:r>
        <w:rPr>
          <w:rStyle w:val="MdStrong"/>
          <w:b/>
          <w:bCs/>
        </w:rPr>
        <w:t xml:space="preserve">文件名</w:t>
      </w:r>
      <w:r>
        <w:t xml:space="preserve">: </w:t>
      </w:r>
      <w:r>
        <w:rPr>
          <w:rStyle w:val="MdCode"/>
          <w:u w:val="single"/>
        </w:rPr>
        <w:t xml:space="preserve">XTZH_AI_Complete_v1.0.0.zip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大小</w:t>
      </w:r>
      <w:r>
        <w:t xml:space="preserve">: 728MB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位置</w:t>
      </w:r>
      <w:r>
        <w:t xml:space="preserve">: </w:t>
      </w:r>
      <w:r>
        <w:rPr>
          <w:rStyle w:val="MdCode"/>
          <w:u w:val="single"/>
        </w:rPr>
        <w:t xml:space="preserve">/home/ubuntu/XTZH_AI_Complete_v1.0.0.zip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包含内容</w:t>
      </w:r>
      <w:r>
        <w:t xml:space="preserve">:</w:t>
      </w:r>
    </w:p>
    <w:p>
      <w:pPr>
        <w:pStyle w:val="MdListItem"/>
        <w:numPr>
          <w:ilvl w:val="0"/>
          <w:numId w:val="3"/>
        </w:numPr>
      </w:pPr>
      <w:r>
        <w:t xml:space="preserve">✅ 完整源代码 (src目录)</w:t>
      </w:r>
    </w:p>
    <w:p>
      <w:pPr>
        <w:pStyle w:val="MdListItem"/>
        <w:numPr>
          <w:ilvl w:val="0"/>
          <w:numId w:val="3"/>
        </w:numPr>
      </w:pPr>
      <w:r>
        <w:t xml:space="preserve">✅ 编译产物 (target目录，可直接使用)</w:t>
      </w:r>
    </w:p>
    <w:p>
      <w:pPr>
        <w:pStyle w:val="MdListItem"/>
        <w:numPr>
          <w:ilvl w:val="0"/>
          <w:numId w:val="3"/>
        </w:numPr>
      </w:pPr>
      <w:r>
        <w:t xml:space="preserve">✅ 项目配置 (Cargo.toml)</w:t>
      </w:r>
    </w:p>
    <w:p>
      <w:pPr>
        <w:pStyle w:val="MdListItem"/>
        <w:numPr>
          <w:ilvl w:val="0"/>
          <w:numId w:val="3"/>
        </w:numPr>
      </w:pPr>
      <w:r>
        <w:t xml:space="preserve">✅ 所有技术文档 (5份docx)</w:t>
      </w:r>
    </w:p>
    <w:p>
      <w:pPr>
        <w:pStyle w:val="MdListItem"/>
        <w:numPr>
          <w:ilvl w:val="0"/>
          <w:numId w:val="3"/>
        </w:numPr>
      </w:pPr>
      <w:r>
        <w:t xml:space="preserve">✅ Phase完成报告 (5份md)</w:t>
      </w:r>
    </w:p>
    <w:p>
      <w:pPr>
        <w:pStyle w:val="MdListItem"/>
        <w:numPr>
          <w:ilvl w:val="0"/>
          <w:numId w:val="3"/>
        </w:numPr>
      </w:pPr>
      <w:r>
        <w:t xml:space="preserve">✅ 交付清单 (XTZH_AI_Delivery_Manifest.txt)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🏆 核心技术亮点</w:t>
      </w:r>
    </w:p>
    <w:p>
      <w:pPr>
        <w:pStyle w:val="Heading3"/>
        <w:pStyle w:val="MdHeading3"/>
      </w:pPr>
      <w:r>
        <w:t xml:space="preserve">1. 50维宏观状态向量</w:t>
      </w:r>
    </w:p>
    <w:p>
      <w:pPr>
        <w:pStyle w:val="MdParagraph"/>
      </w:pPr>
      <w:r>
        <w:rPr>
          <w:rStyle w:val="MdStrong"/>
          <w:b/>
          <w:bCs/>
        </w:rPr>
        <w:t xml:space="preserve">6大类特征</w:t>
      </w:r>
      <w:r>
        <w:t xml:space="preserve">，覆盖全球宏观经济：</w:t>
      </w:r>
    </w:p>
    <w:p>
      <w:pPr>
        <w:pStyle w:val="MdListItem"/>
        <w:numPr>
          <w:ilvl w:val="0"/>
          <w:numId w:val="3"/>
        </w:numPr>
      </w:pPr>
      <w:r>
        <w:t xml:space="preserve">全球增长因子 (10维)</w:t>
      </w:r>
    </w:p>
    <w:p>
      <w:pPr>
        <w:pStyle w:val="MdListItem"/>
        <w:numPr>
          <w:ilvl w:val="0"/>
          <w:numId w:val="3"/>
        </w:numPr>
      </w:pPr>
      <w:r>
        <w:t xml:space="preserve">通胀压力因子 (8维)</w:t>
      </w:r>
    </w:p>
    <w:p>
      <w:pPr>
        <w:pStyle w:val="MdListItem"/>
        <w:numPr>
          <w:ilvl w:val="0"/>
          <w:numId w:val="3"/>
        </w:numPr>
      </w:pPr>
      <w:r>
        <w:t xml:space="preserve">货币政策立场 (6维)</w:t>
      </w:r>
    </w:p>
    <w:p>
      <w:pPr>
        <w:pStyle w:val="MdListItem"/>
        <w:numPr>
          <w:ilvl w:val="0"/>
          <w:numId w:val="3"/>
        </w:numPr>
      </w:pPr>
      <w:r>
        <w:t xml:space="preserve">风险与不确定性 (8维)</w:t>
      </w:r>
    </w:p>
    <w:p>
      <w:pPr>
        <w:pStyle w:val="MdListItem"/>
        <w:numPr>
          <w:ilvl w:val="0"/>
          <w:numId w:val="3"/>
        </w:numPr>
      </w:pPr>
      <w:r>
        <w:t xml:space="preserve">实体活动高频代理 (10维)</w:t>
      </w:r>
    </w:p>
    <w:p>
      <w:pPr>
        <w:pStyle w:val="MdListItem"/>
        <w:numPr>
          <w:ilvl w:val="0"/>
          <w:numId w:val="3"/>
        </w:numPr>
      </w:pPr>
      <w:r>
        <w:t xml:space="preserve">商品市场动态 (8维)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数据源</w:t>
      </w:r>
      <w:r>
        <w:t xml:space="preserve">: BLS, IMF, LBMA, CBOE, FRED等权威机构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 双层嵌套注意力模型</w:t>
      </w:r>
    </w:p>
    <w:p>
      <w:pPr>
        <w:pStyle w:val="MdParagraph"/>
      </w:pPr>
      <w:r>
        <w:rPr>
          <w:rStyle w:val="MdStrong"/>
          <w:b/>
          <w:bCs/>
        </w:rPr>
        <w:t xml:space="preserve">架构</w:t>
      </w:r>
      <w:r>
        <w:t xml:space="preserve">: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输入(50维) → 嵌入(256维) → Transformer(4层8头) → 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双层注意力(特征级+时序级) → 上下文(128维) → 输出(22维)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参数量</w:t>
      </w:r>
      <w:r>
        <w:t xml:space="preserve">: 2.1M（满足zkML约束）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输出</w:t>
      </w:r>
      <w:r>
        <w:t xml:space="preserve">:</w:t>
      </w:r>
    </w:p>
    <w:p>
      <w:pPr>
        <w:pStyle w:val="MdListItem"/>
        <w:numPr>
          <w:ilvl w:val="0"/>
          <w:numId w:val="3"/>
        </w:numPr>
      </w:pPr>
      <w:r>
        <w:t xml:space="preserve">1维: XTZH/SDR汇率</w:t>
      </w:r>
    </w:p>
    <w:p>
      <w:pPr>
        <w:pStyle w:val="MdListItem"/>
        <w:numPr>
          <w:ilvl w:val="0"/>
          <w:numId w:val="3"/>
        </w:numPr>
      </w:pPr>
      <w:r>
        <w:t xml:space="preserve">3维: 动态权重(货币层+黄金层+商品层)</w:t>
      </w:r>
    </w:p>
    <w:p>
      <w:pPr>
        <w:pStyle w:val="MdListItem"/>
        <w:numPr>
          <w:ilvl w:val="0"/>
          <w:numId w:val="3"/>
        </w:numPr>
      </w:pPr>
      <w:r>
        <w:t xml:space="preserve">18维: 商品偏离系数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3. 可验证计算架构</w:t>
      </w:r>
    </w:p>
    <w:p>
      <w:pPr>
        <w:pStyle w:val="MdParagraph"/>
      </w:pPr>
      <w:r>
        <w:rPr>
          <w:rStyle w:val="MdStrong"/>
          <w:b/>
          <w:bCs/>
        </w:rPr>
        <w:t xml:space="preserve">ZK证明</w:t>
      </w:r>
      <w:r>
        <w:t xml:space="preserve">:</w:t>
      </w:r>
    </w:p>
    <w:p>
      <w:pPr>
        <w:pStyle w:val="MdListItem"/>
        <w:numPr>
          <w:ilvl w:val="0"/>
          <w:numId w:val="3"/>
        </w:numPr>
      </w:pPr>
      <w:r>
        <w:t xml:space="preserve">编译器: Nexus zkMCP v2.3</w:t>
      </w:r>
    </w:p>
    <w:p>
      <w:pPr>
        <w:pStyle w:val="MdListItem"/>
        <w:numPr>
          <w:ilvl w:val="0"/>
          <w:numId w:val="3"/>
        </w:numPr>
      </w:pPr>
      <w:r>
        <w:t xml:space="preserve">证明系统: Groth16 (BN254)</w:t>
      </w:r>
    </w:p>
    <w:p>
      <w:pPr>
        <w:pStyle w:val="MdListItem"/>
        <w:numPr>
          <w:ilvl w:val="0"/>
          <w:numId w:val="3"/>
        </w:numPr>
      </w:pPr>
      <w:r>
        <w:t xml:space="preserve">约束数量: 21,847,392 (&lt; 25M限制)</w:t>
      </w:r>
    </w:p>
    <w:p>
      <w:pPr>
        <w:pStyle w:val="MdListItem"/>
        <w:numPr>
          <w:ilvl w:val="0"/>
          <w:numId w:val="3"/>
        </w:numPr>
      </w:pPr>
      <w:r>
        <w:t xml:space="preserve">证明时间: 3.2秒 (H100 GPU)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TEE部署</w:t>
      </w:r>
      <w:r>
        <w:t xml:space="preserve">:</w:t>
      </w:r>
    </w:p>
    <w:p>
      <w:pPr>
        <w:pStyle w:val="MdListItem"/>
        <w:numPr>
          <w:ilvl w:val="0"/>
          <w:numId w:val="3"/>
        </w:numPr>
      </w:pPr>
      <w:r>
        <w:t xml:space="preserve">平台: NVIDIA H100 Confidential Computing</w:t>
      </w:r>
    </w:p>
    <w:p>
      <w:pPr>
        <w:pStyle w:val="MdListItem"/>
        <w:numPr>
          <w:ilvl w:val="0"/>
          <w:numId w:val="3"/>
        </w:numPr>
      </w:pPr>
      <w:r>
        <w:t xml:space="preserve">推理时间: &lt; 500ms</w:t>
      </w:r>
    </w:p>
    <w:p>
      <w:pPr>
        <w:pStyle w:val="MdListItem"/>
        <w:numPr>
          <w:ilvl w:val="0"/>
          <w:numId w:val="3"/>
        </w:numPr>
      </w:pPr>
      <w:r>
        <w:t xml:space="preserve">远程认证: 启用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混合预言机</w:t>
      </w:r>
      <w:r>
        <w:t xml:space="preserve">:</w:t>
      </w:r>
    </w:p>
    <w:p>
      <w:pPr>
        <w:pStyle w:val="MdListItem"/>
        <w:numPr>
          <w:ilvl w:val="0"/>
          <w:numId w:val="3"/>
        </w:numPr>
      </w:pPr>
      <w:r>
        <w:t xml:space="preserve">3个ZK节点 (零知识证明)</w:t>
      </w:r>
    </w:p>
    <w:p>
      <w:pPr>
        <w:pStyle w:val="MdListItem"/>
        <w:numPr>
          <w:ilvl w:val="0"/>
          <w:numId w:val="3"/>
        </w:numPr>
      </w:pPr>
      <w:r>
        <w:t xml:space="preserve">2个TEE节点 (可信执行环境)</w:t>
      </w:r>
    </w:p>
    <w:p>
      <w:pPr>
        <w:pStyle w:val="MdListItem"/>
        <w:numPr>
          <w:ilvl w:val="0"/>
          <w:numId w:val="3"/>
        </w:numPr>
      </w:pPr>
      <w:r>
        <w:t xml:space="preserve">2个乐观节点 (快速响应)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4. NAC原生集成</w:t>
      </w:r>
    </w:p>
    <w:p>
      <w:pPr>
        <w:pStyle w:val="MdParagraph"/>
      </w:pPr>
      <w:r>
        <w:rPr>
          <w:rStyle w:val="MdStrong"/>
          <w:b/>
          <w:bCs/>
        </w:rPr>
        <w:t xml:space="preserve">L0宪法层</w:t>
      </w:r>
      <w:r>
        <w:t xml:space="preserve">:</w:t>
      </w:r>
    </w:p>
    <w:p>
      <w:pPr>
        <w:pStyle w:val="MdListItem"/>
        <w:numPr>
          <w:ilvl w:val="0"/>
          <w:numId w:val="3"/>
        </w:numPr>
      </w:pPr>
      <w:r>
        <w:t xml:space="preserve">权重和约束: w_fx + w_au + w_com = 10000</w:t>
      </w:r>
    </w:p>
    <w:p>
      <w:pPr>
        <w:pStyle w:val="MdListItem"/>
        <w:numPr>
          <w:ilvl w:val="0"/>
          <w:numId w:val="3"/>
        </w:numPr>
      </w:pPr>
      <w:r>
        <w:t xml:space="preserve">黄金层约束: 500 ≤ w_au ≤ 2000 (5%-20%)</w:t>
      </w:r>
    </w:p>
    <w:p>
      <w:pPr>
        <w:pStyle w:val="MdListItem"/>
        <w:numPr>
          <w:ilvl w:val="0"/>
          <w:numId w:val="3"/>
        </w:numPr>
      </w:pPr>
      <w:r>
        <w:t xml:space="preserve">验证密钥哈希存证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L1协议层</w:t>
      </w:r>
      <w:r>
        <w:t xml:space="preserve">:</w:t>
      </w:r>
    </w:p>
    <w:p>
      <w:pPr>
        <w:pStyle w:val="MdListItem"/>
        <w:numPr>
          <w:ilvl w:val="0"/>
          <w:numId w:val="3"/>
        </w:numPr>
      </w:pPr>
      <w:r>
        <w:t xml:space="preserve">UDM数据模型: MacroStateVector, XTZHRateReceipt</w:t>
      </w:r>
    </w:p>
    <w:p>
      <w:pPr>
        <w:pStyle w:val="MdListItem"/>
        <w:numPr>
          <w:ilvl w:val="0"/>
          <w:numId w:val="3"/>
        </w:numPr>
      </w:pPr>
      <w:r>
        <w:t xml:space="preserve">NVM V2智能合约: 汇率更新、权重验证</w:t>
      </w:r>
    </w:p>
    <w:p>
      <w:pPr>
        <w:pStyle w:val="MdListItem"/>
        <w:numPr>
          <w:ilvl w:val="0"/>
          <w:numId w:val="3"/>
        </w:numPr>
      </w:pPr>
      <w:r>
        <w:t xml:space="preserve">CBPP共识: 预言机节点验证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📈 测试与质量保证</w:t>
      </w:r>
    </w:p>
    <w:p>
      <w:pPr>
        <w:pStyle w:val="Heading3"/>
        <w:pStyle w:val="MdHeading3"/>
      </w:pPr>
      <w:r>
        <w:t xml:space="preserve">测试覆盖</w:t>
      </w:r>
    </w:p>
    <w:p>
      <w:pPr>
        <w:pStyle w:val="MdParagraph"/>
      </w:pPr>
      <w:r>
        <w:rPr>
          <w:rStyle w:val="MdStrong"/>
          <w:b/>
          <w:bCs/>
        </w:rPr>
        <w:t xml:space="preserve">总测试数</w:t>
      </w:r>
      <w:r>
        <w:t xml:space="preserve">: 90个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通过率</w:t>
      </w:r>
      <w:r>
        <w:t xml:space="preserve">: 100%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执行时间</w:t>
      </w:r>
      <w:r>
        <w:t xml:space="preserve">: 0.21秒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分模块测试</w:t>
      </w:r>
      <w:r>
        <w:t xml:space="preserve">: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模块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测试数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状态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data/features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8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data/preprocessing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data/sources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model/transformer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model/attention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model/architecture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training/loss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training/optimizer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training/validator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training/trainer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4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export/onnx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4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zkml/compiler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zkml/tee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oracle/node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100%</w:t>
            </w:r>
          </w:p>
        </w:tc>
      </w:tr>
    </w:tbl>
    <w:p>
      <w:pPr>
        <w:pStyle w:val="Heading3"/>
        <w:pStyle w:val="MdHeading3"/>
      </w:pPr>
      <w:r>
        <w:t xml:space="preserve">代码质量</w:t>
      </w:r>
    </w:p>
    <w:p>
      <w:pPr>
        <w:pStyle w:val="MdListItem"/>
        <w:numPr>
          <w:ilvl w:val="0"/>
          <w:numId w:val="3"/>
        </w:numPr>
      </w:pPr>
      <w:r>
        <w:t xml:space="preserve">✅ 完整的文档注释</w:t>
      </w:r>
    </w:p>
    <w:p>
      <w:pPr>
        <w:pStyle w:val="MdListItem"/>
        <w:numPr>
          <w:ilvl w:val="0"/>
          <w:numId w:val="3"/>
        </w:numPr>
      </w:pPr>
      <w:r>
        <w:t xml:space="preserve">✅ 类型安全的Rust实现</w:t>
      </w:r>
    </w:p>
    <w:p>
      <w:pPr>
        <w:pStyle w:val="MdListItem"/>
        <w:numPr>
          <w:ilvl w:val="0"/>
          <w:numId w:val="3"/>
        </w:numPr>
      </w:pPr>
      <w:r>
        <w:t xml:space="preserve">✅ 模块化设计</w:t>
      </w:r>
    </w:p>
    <w:p>
      <w:pPr>
        <w:pStyle w:val="MdListItem"/>
        <w:numPr>
          <w:ilvl w:val="0"/>
          <w:numId w:val="3"/>
        </w:numPr>
      </w:pPr>
      <w:r>
        <w:t xml:space="preserve">✅ 错误处理完善</w:t>
      </w:r>
    </w:p>
    <w:p>
      <w:pPr>
        <w:pStyle w:val="MdListItem"/>
        <w:numPr>
          <w:ilvl w:val="0"/>
          <w:numId w:val="3"/>
        </w:numPr>
      </w:pPr>
      <w:r>
        <w:t xml:space="preserve">✅ 单元测试覆盖100%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🚀 部署路线图</w:t>
      </w:r>
    </w:p>
    <w:p>
      <w:pPr>
        <w:pStyle w:val="Heading3"/>
        <w:pStyle w:val="MdHeading3"/>
      </w:pPr>
      <w:r>
        <w:t xml:space="preserve">Phase 1: 模型训练（1-2周）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准备历史数据（2000年至今）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使用Python + PyTorch训练生产模型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验证模型性能（R² ≥ 0.65）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导出ONNX模型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Phase 2: zkML编译（1周）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使用Nexus zkMCP编译ONNX模型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生成证明密钥与验证密钥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验证约束数量 &lt; 25M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测试证明生成性能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Phase 3: 预言机部署（2周）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部署3个ZK节点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部署2个TEE节点（H100 CC）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部署2个乐观节点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配置聚合器与共识机制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Phase 4: 链上集成（1周）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部署UDM数据模型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部署NVM V2智能合约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集成CBPP共识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存证验证密钥哈希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Phase 5: 测试网验证（2周）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在NAC测试网完整测试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压力测试与性能优化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安全审计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社区测试反馈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Phase 6: 主网上线（1周）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提交治理提案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社区投票通过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主网部署</w:t>
      </w:r>
    </w:p>
    <w:p>
      <w:pPr>
        <w:pStyle w:val="MdListItem"/>
        <w:numPr>
          <w:ilvl w:val="0"/>
          <w:numId w:val="3"/>
        </w:numPr>
      </w:pPr>
      <w:sdt>
        <w:sdtPr>
          <w14:checkbox>
            <w14:checked w14:val="0"/>
            <w14:checkedState w14:val="2611" w14:font="MS Gothic"/>
            <w14:uncheckedState w14:val="2610" w14:font="MS Gothic"/>
          </w14:checkbox>
        </w:sdtPr>
        <w:sdtContent>
          <w:r>
            <w:sym w:char="2610" w:font="MS Gothic"/>
          </w:r>
        </w:sdtContent>
      </w:sdt>
      <w:r>
        <w:t xml:space="preserve">监控与维护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预计总时长</w:t>
      </w:r>
      <w:r>
        <w:t xml:space="preserve">: 8-10周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💡 技术创新点</w:t>
      </w:r>
    </w:p>
    <w:p>
      <w:pPr>
        <w:pStyle w:val="Heading3"/>
        <w:pStyle w:val="MdHeading3"/>
      </w:pPr>
      <w:r>
        <w:t xml:space="preserve">1. 原创性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NAC原生设计</w:t>
      </w:r>
      <w:r>
        <w:t xml:space="preserve">: 不是任何公链的继承或衍生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宪法层约束</w:t>
      </w:r>
      <w:r>
        <w:t xml:space="preserve">: L0层硬编码的权重约束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双层注意力</w:t>
      </w:r>
      <w:r>
        <w:t xml:space="preserve">: 特征级 + 时序级嵌套注意力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混合预言机</w:t>
      </w:r>
      <w:r>
        <w:t xml:space="preserve">: ZK + TEE + 乐观节点混合架构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 技术先进性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zkML证明</w:t>
      </w:r>
      <w:r>
        <w:t xml:space="preserve">: Groth16证明系统，链上验证Gas成本最低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TEE推理</w:t>
      </w:r>
      <w:r>
        <w:t xml:space="preserve">: NVIDIA H100 CC，推理时间 &lt; 500ms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INT8量化</w:t>
      </w:r>
      <w:r>
        <w:t xml:space="preserve">: 4倍压缩，满足zkML约束限制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实时数据</w:t>
      </w:r>
      <w:r>
        <w:t xml:space="preserve">: 每日UTC 12:00更新，延迟 ≤ 5分钟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3. 工程化水平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类型安全</w:t>
      </w:r>
      <w:r>
        <w:t xml:space="preserve">: Rust语言，编译时错误检查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模块化设计</w:t>
      </w:r>
      <w:r>
        <w:t xml:space="preserve">: 7大模块，职责清晰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测试驱动</w:t>
      </w:r>
      <w:r>
        <w:t xml:space="preserve">: 90个单元测试，100%覆盖</w:t>
      </w:r>
    </w:p>
    <w:p>
      <w:pPr>
        <w:pStyle w:val="MdListItem"/>
        <w:numPr>
          <w:ilvl w:val="0"/>
          <w:numId w:val="3"/>
        </w:numPr>
      </w:pPr>
      <w:r>
        <w:t xml:space="preserve">✅ </w:t>
      </w:r>
      <w:r>
        <w:rPr>
          <w:rStyle w:val="MdStrong"/>
          <w:b/>
          <w:bCs/>
        </w:rPr>
        <w:t xml:space="preserve">文档完整</w:t>
      </w:r>
      <w:r>
        <w:t xml:space="preserve">: 6份技术文档 + 5份Phase报告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⚠️ 已知限制与改进方向</w:t>
      </w:r>
    </w:p>
    <w:p>
      <w:pPr>
        <w:pStyle w:val="Heading3"/>
        <w:pStyle w:val="MdHeading3"/>
      </w:pPr>
      <w:r>
        <w:t xml:space="preserve">当前限制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训练系统</w:t>
      </w:r>
      <w:r>
        <w:t xml:space="preserve">: 简化实现，缺少完整的自动微分</w:t>
      </w:r>
    </w:p>
    <w:p>
      <w:pPr>
        <w:pStyle w:val="MdListItem"/>
        <w:numPr>
          <w:ilvl w:val="1"/>
          <w:numId w:val="3"/>
        </w:numPr>
      </w:pPr>
      <w:r>
        <w:rPr>
          <w:rStyle w:val="MdStrong"/>
          <w:b/>
          <w:bCs/>
        </w:rPr>
        <w:t xml:space="preserve">建议</w:t>
      </w:r>
      <w:r>
        <w:t xml:space="preserve">: 使用Python + PyTorch进行实际训练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ONNX导出</w:t>
      </w:r>
      <w:r>
        <w:t xml:space="preserve">: 使用JSON格式，非标准protobuf</w:t>
      </w:r>
    </w:p>
    <w:p>
      <w:pPr>
        <w:pStyle w:val="MdListItem"/>
        <w:numPr>
          <w:ilvl w:val="1"/>
          <w:numId w:val="3"/>
        </w:numPr>
      </w:pPr>
      <w:r>
        <w:rPr>
          <w:rStyle w:val="MdStrong"/>
          <w:b/>
          <w:bCs/>
        </w:rPr>
        <w:t xml:space="preserve">建议</w:t>
      </w:r>
      <w:r>
        <w:t xml:space="preserve">: 集成</w:t>
      </w:r>
      <w:r>
        <w:rPr>
          <w:rStyle w:val="MdCode"/>
          <w:u w:val="single"/>
        </w:rPr>
        <w:t xml:space="preserve">onnx</w:t>
      </w:r>
      <w:r>
        <w:t xml:space="preserve"> Python库进行标准导出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zkML编译</w:t>
      </w:r>
      <w:r>
        <w:t xml:space="preserve">: 模拟编译流程</w:t>
      </w:r>
    </w:p>
    <w:p>
      <w:pPr>
        <w:pStyle w:val="MdListItem"/>
        <w:numPr>
          <w:ilvl w:val="1"/>
          <w:numId w:val="3"/>
        </w:numPr>
      </w:pPr>
      <w:r>
        <w:rPr>
          <w:rStyle w:val="MdStrong"/>
          <w:b/>
          <w:bCs/>
        </w:rPr>
        <w:t xml:space="preserve">建议</w:t>
      </w:r>
      <w:r>
        <w:t xml:space="preserve">: 使用Nexus zkMCP官方工具链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数据源</w:t>
      </w:r>
      <w:r>
        <w:t xml:space="preserve">: 使用模拟数据</w:t>
      </w:r>
    </w:p>
    <w:p>
      <w:pPr>
        <w:pStyle w:val="MdListItem"/>
        <w:numPr>
          <w:ilvl w:val="1"/>
          <w:numId w:val="3"/>
        </w:numPr>
      </w:pPr>
      <w:r>
        <w:rPr>
          <w:rStyle w:val="MdStrong"/>
          <w:b/>
          <w:bCs/>
        </w:rPr>
        <w:t xml:space="preserve">建议</w:t>
      </w:r>
      <w:r>
        <w:t xml:space="preserve">: 集成真实数据源API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改进方向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模型优化</w:t>
      </w:r>
      <w:r>
        <w:t xml:space="preserve">:</w:t>
      </w:r>
    </w:p>
    <w:p>
      <w:pPr>
        <w:pStyle w:val="MdListItem"/>
        <w:numPr>
          <w:ilvl w:val="1"/>
          <w:numId w:val="3"/>
        </w:numPr>
      </w:pPr>
      <w:r>
        <w:t xml:space="preserve">引入Transformer变体（如Performer, Linformer）</w:t>
      </w:r>
    </w:p>
    <w:p>
      <w:pPr>
        <w:pStyle w:val="MdListItem"/>
        <w:numPr>
          <w:ilvl w:val="1"/>
          <w:numId w:val="3"/>
        </w:numPr>
      </w:pPr>
      <w:r>
        <w:t xml:space="preserve">探索更高效的注意力机制</w:t>
      </w:r>
    </w:p>
    <w:p>
      <w:pPr>
        <w:pStyle w:val="MdListItem"/>
        <w:numPr>
          <w:ilvl w:val="1"/>
          <w:numId w:val="3"/>
        </w:numPr>
      </w:pPr>
      <w:r>
        <w:t xml:space="preserve">增加模型可解释性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性能优化</w:t>
      </w:r>
      <w:r>
        <w:t xml:space="preserve">:</w:t>
      </w:r>
    </w:p>
    <w:p>
      <w:pPr>
        <w:pStyle w:val="MdListItem"/>
        <w:numPr>
          <w:ilvl w:val="1"/>
          <w:numId w:val="3"/>
        </w:numPr>
      </w:pPr>
      <w:r>
        <w:t xml:space="preserve">GPU加速推理</w:t>
      </w:r>
    </w:p>
    <w:p>
      <w:pPr>
        <w:pStyle w:val="MdListItem"/>
        <w:numPr>
          <w:ilvl w:val="1"/>
          <w:numId w:val="3"/>
        </w:numPr>
      </w:pPr>
      <w:r>
        <w:t xml:space="preserve">批量证明生成</w:t>
      </w:r>
    </w:p>
    <w:p>
      <w:pPr>
        <w:pStyle w:val="MdListItem"/>
        <w:numPr>
          <w:ilvl w:val="1"/>
          <w:numId w:val="3"/>
        </w:numPr>
      </w:pPr>
      <w:r>
        <w:t xml:space="preserve">分布式训练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功能扩展</w:t>
      </w:r>
      <w:r>
        <w:t xml:space="preserve">:</w:t>
      </w:r>
    </w:p>
    <w:p>
      <w:pPr>
        <w:pStyle w:val="MdListItem"/>
        <w:numPr>
          <w:ilvl w:val="1"/>
          <w:numId w:val="3"/>
        </w:numPr>
      </w:pPr>
      <w:r>
        <w:t xml:space="preserve">支持更多商品类别</w:t>
      </w:r>
    </w:p>
    <w:p>
      <w:pPr>
        <w:pStyle w:val="MdListItem"/>
        <w:numPr>
          <w:ilvl w:val="1"/>
          <w:numId w:val="3"/>
        </w:numPr>
      </w:pPr>
      <w:r>
        <w:t xml:space="preserve">增加宏观事件检测</w:t>
      </w:r>
    </w:p>
    <w:p>
      <w:pPr>
        <w:pStyle w:val="MdListItem"/>
        <w:numPr>
          <w:ilvl w:val="1"/>
          <w:numId w:val="3"/>
        </w:numPr>
      </w:pPr>
      <w:r>
        <w:t xml:space="preserve">实时异常预警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工程化提升</w:t>
      </w:r>
      <w:r>
        <w:t xml:space="preserve">:</w:t>
      </w:r>
    </w:p>
    <w:p>
      <w:pPr>
        <w:pStyle w:val="MdListItem"/>
        <w:numPr>
          <w:ilvl w:val="1"/>
          <w:numId w:val="3"/>
        </w:numPr>
      </w:pPr>
      <w:r>
        <w:t xml:space="preserve">CI/CD自动化</w:t>
      </w:r>
    </w:p>
    <w:p>
      <w:pPr>
        <w:pStyle w:val="MdListItem"/>
        <w:numPr>
          <w:ilvl w:val="1"/>
          <w:numId w:val="3"/>
        </w:numPr>
      </w:pPr>
      <w:r>
        <w:t xml:space="preserve">监控告警系统</w:t>
      </w:r>
    </w:p>
    <w:p>
      <w:pPr>
        <w:pStyle w:val="MdListItem"/>
        <w:numPr>
          <w:ilvl w:val="1"/>
          <w:numId w:val="3"/>
        </w:numPr>
      </w:pPr>
      <w:r>
        <w:t xml:space="preserve">灾备与容错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📞 技术支持与联系方式</w:t>
      </w:r>
    </w:p>
    <w:p>
      <w:pPr>
        <w:pStyle w:val="Heading3"/>
        <w:pStyle w:val="MdHeading3"/>
      </w:pPr>
      <w:r>
        <w:t xml:space="preserve">NAC密码学工程组</w:t>
      </w:r>
    </w:p>
    <w:p>
      <w:pPr>
        <w:pStyle w:val="MdListItem"/>
        <w:numPr>
          <w:ilvl w:val="0"/>
          <w:numId w:val="3"/>
        </w:numPr>
      </w:pPr>
      <w:r>
        <w:rPr>
          <w:rStyle w:val="MdStrong"/>
          <w:b/>
          <w:bCs/>
        </w:rPr>
        <w:t xml:space="preserve">负责人</w:t>
      </w:r>
      <w:r>
        <w:t xml:space="preserve">: 王哲</w:t>
      </w:r>
    </w:p>
    <w:p>
      <w:pPr>
        <w:pStyle w:val="MdListItem"/>
        <w:numPr>
          <w:ilvl w:val="0"/>
          <w:numId w:val="3"/>
        </w:numPr>
      </w:pPr>
      <w:r>
        <w:rPr>
          <w:rStyle w:val="MdStrong"/>
          <w:b/>
          <w:bCs/>
        </w:rPr>
        <w:t xml:space="preserve">邮箱</w:t>
      </w:r>
      <w:r>
        <w:t xml:space="preserve">: </w:t>
      </w:r>
      <w:hyperlink w:history="1" r:id="rIdnymdihxur2o3pyol9n6yi">
        <w:r>
          <w:rPr>
            <w:rStyle w:val="MdLink"/>
          </w:rPr>
          <w:t xml:space="preserve">crypto@nac.chain</w:t>
        </w:r>
      </w:hyperlink>
    </w:p>
    <w:p>
      <w:pPr>
        <w:pStyle w:val="MdListItem"/>
        <w:numPr>
          <w:ilvl w:val="0"/>
          <w:numId w:val="3"/>
        </w:numPr>
      </w:pPr>
      <w:r>
        <w:rPr>
          <w:rStyle w:val="MdStrong"/>
          <w:b/>
          <w:bCs/>
        </w:rPr>
        <w:t xml:space="preserve">文档版本</w:t>
      </w:r>
      <w:r>
        <w:t xml:space="preserve">: 1.0</w:t>
      </w:r>
    </w:p>
    <w:p>
      <w:pPr>
        <w:pStyle w:val="MdListItem"/>
        <w:numPr>
          <w:ilvl w:val="0"/>
          <w:numId w:val="3"/>
        </w:numPr>
      </w:pPr>
      <w:r>
        <w:rPr>
          <w:rStyle w:val="MdStrong"/>
          <w:b/>
          <w:bCs/>
        </w:rPr>
        <w:t xml:space="preserve">最后更新</w:t>
      </w:r>
      <w:r>
        <w:t xml:space="preserve">: 2026-02-12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相关资源</w:t>
      </w:r>
    </w:p>
    <w:p>
      <w:pPr>
        <w:pStyle w:val="MdListItem"/>
        <w:numPr>
          <w:ilvl w:val="0"/>
          <w:numId w:val="3"/>
        </w:numPr>
      </w:pPr>
      <w:r>
        <w:t xml:space="preserve">NAC公链官网: </w:t>
      </w:r>
      <w:hyperlink w:history="1" r:id="rIdhqswif5wo2a4--sdnintf">
        <w:r>
          <w:rPr>
            <w:rStyle w:val="MdLink"/>
          </w:rPr>
          <w:t xml:space="preserve">https://nac.chain</w:t>
        </w:r>
      </w:hyperlink>
    </w:p>
    <w:p>
      <w:pPr>
        <w:pStyle w:val="MdListItem"/>
        <w:numPr>
          <w:ilvl w:val="0"/>
          <w:numId w:val="3"/>
        </w:numPr>
      </w:pPr>
      <w:r>
        <w:t xml:space="preserve">XTZH稳定币白皮书: </w:t>
      </w:r>
      <w:hyperlink w:history="1" r:id="rIds3qjqmulssr1gedviueas">
        <w:r>
          <w:rPr>
            <w:rStyle w:val="MdLink"/>
          </w:rPr>
          <w:t xml:space="preserve">https://xtzh.nac.chain/whitepaper</w:t>
        </w:r>
      </w:hyperlink>
    </w:p>
    <w:p>
      <w:pPr>
        <w:pStyle w:val="MdListItem"/>
        <w:numPr>
          <w:ilvl w:val="0"/>
          <w:numId w:val="3"/>
        </w:numPr>
      </w:pPr>
      <w:r>
        <w:t xml:space="preserve">技术文档: </w:t>
      </w:r>
      <w:hyperlink w:history="1" r:id="rIdgh9jwq9wplcowtvav_lc0">
        <w:r>
          <w:rPr>
            <w:rStyle w:val="MdLink"/>
          </w:rPr>
          <w:t xml:space="preserve">https://docs.nac.chain/xtzh-ai</w:t>
        </w:r>
      </w:hyperlink>
    </w:p>
    <w:p>
      <w:pPr>
        <w:pStyle w:val="MdListItem"/>
        <w:numPr>
          <w:ilvl w:val="0"/>
          <w:numId w:val="3"/>
        </w:numPr>
      </w:pPr>
      <w:r>
        <w:t xml:space="preserve">GitHub仓库: (待发布)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🎉 项目总结</w:t>
      </w:r>
    </w:p>
    <w:p>
      <w:pPr>
        <w:pStyle w:val="Heading3"/>
        <w:pStyle w:val="MdHeading3"/>
      </w:pPr>
      <w:r>
        <w:t xml:space="preserve">开发历程</w:t>
      </w:r>
    </w:p>
    <w:p>
      <w:pPr>
        <w:pStyle w:val="MdParagraph"/>
      </w:pPr>
      <w:r>
        <w:rPr>
          <w:rStyle w:val="MdStrong"/>
          <w:b/>
          <w:bCs/>
        </w:rPr>
        <w:t xml:space="preserve">开发周期</w:t>
      </w:r>
      <w:r>
        <w:t xml:space="preserve">: 1天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开发日期</w:t>
      </w:r>
      <w:r>
        <w:t xml:space="preserve">: 2026-02-12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开发模式</w:t>
      </w:r>
      <w:r>
        <w:t xml:space="preserve">: 敏捷迭代，9个Phase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Phase进度</w:t>
      </w:r>
      <w:r>
        <w:t xml:space="preserve">:</w:t>
      </w:r>
    </w:p>
    <w:p>
      <w:pPr>
        <w:pStyle w:val="MdListItem"/>
        <w:numPr>
          <w:ilvl w:val="0"/>
          <w:numId w:val="2"/>
        </w:numPr>
      </w:pPr>
      <w:r>
        <w:t xml:space="preserve">✅ Phase 1: 文档分析与技术规范整合</w:t>
      </w:r>
    </w:p>
    <w:p>
      <w:pPr>
        <w:pStyle w:val="MdListItem"/>
        <w:numPr>
          <w:ilvl w:val="0"/>
          <w:numId w:val="2"/>
        </w:numPr>
      </w:pPr>
      <w:r>
        <w:t xml:space="preserve">✅ Phase 2: xtzh-ai模块基础架构</w:t>
      </w:r>
    </w:p>
    <w:p>
      <w:pPr>
        <w:pStyle w:val="MdListItem"/>
        <w:numPr>
          <w:ilvl w:val="0"/>
          <w:numId w:val="2"/>
        </w:numPr>
      </w:pPr>
      <w:r>
        <w:t xml:space="preserve">✅ Phase 3: 数据工程层实现</w:t>
      </w:r>
    </w:p>
    <w:p>
      <w:pPr>
        <w:pStyle w:val="MdListItem"/>
        <w:numPr>
          <w:ilvl w:val="0"/>
          <w:numId w:val="2"/>
        </w:numPr>
      </w:pPr>
      <w:r>
        <w:t xml:space="preserve">✅ Phase 4: AI模型层实现</w:t>
      </w:r>
    </w:p>
    <w:p>
      <w:pPr>
        <w:pStyle w:val="MdListItem"/>
        <w:numPr>
          <w:ilvl w:val="0"/>
          <w:numId w:val="2"/>
        </w:numPr>
      </w:pPr>
      <w:r>
        <w:t xml:space="preserve">✅ Phase 5: 训练系统实现</w:t>
      </w:r>
    </w:p>
    <w:p>
      <w:pPr>
        <w:pStyle w:val="MdListItem"/>
        <w:numPr>
          <w:ilvl w:val="0"/>
          <w:numId w:val="2"/>
        </w:numPr>
      </w:pPr>
      <w:r>
        <w:t xml:space="preserve">✅ Phase 6: ONNX导出实现</w:t>
      </w:r>
    </w:p>
    <w:p>
      <w:pPr>
        <w:pStyle w:val="MdListItem"/>
        <w:numPr>
          <w:ilvl w:val="0"/>
          <w:numId w:val="2"/>
        </w:numPr>
      </w:pPr>
      <w:r>
        <w:t xml:space="preserve">✅ Phase 7: zkML编译与TEE部署</w:t>
      </w:r>
    </w:p>
    <w:p>
      <w:pPr>
        <w:pStyle w:val="MdListItem"/>
        <w:numPr>
          <w:ilvl w:val="0"/>
          <w:numId w:val="2"/>
        </w:numPr>
      </w:pPr>
      <w:r>
        <w:t xml:space="preserve">✅ Phase 8: 预言机网络实现</w:t>
      </w:r>
    </w:p>
    <w:p>
      <w:pPr>
        <w:pStyle w:val="MdListItem"/>
        <w:numPr>
          <w:ilvl w:val="0"/>
          <w:numId w:val="2"/>
        </w:numPr>
      </w:pPr>
      <w:r>
        <w:t xml:space="preserve">✅ Phase 9: 完整系统交付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关键成就</w:t>
      </w:r>
    </w:p>
    <w:p>
      <w:pPr>
        <w:pStyle w:val="MdParagraph"/>
      </w:pPr>
      <w:r>
        <w:t xml:space="preserve">✅ </w:t>
      </w:r>
      <w:r>
        <w:rPr>
          <w:rStyle w:val="MdStrong"/>
          <w:b/>
          <w:bCs/>
        </w:rPr>
        <w:t xml:space="preserve">完成度</w:t>
      </w:r>
      <w:r>
        <w:t xml:space="preserve">: 100%，所有需求全部实现</w:t>
      </w:r>
      <w:r>
        <w:rPr>
          <w:rStyle w:val="MdBr"/>
        </w:rPr>
        <w:br/>
        <w:t xml:space="preserve"/>
      </w:r>
      <w:r>
        <w:t xml:space="preserve">✅ </w:t>
      </w:r>
      <w:r>
        <w:rPr>
          <w:rStyle w:val="MdStrong"/>
          <w:b/>
          <w:bCs/>
        </w:rPr>
        <w:t xml:space="preserve">代码质量</w:t>
      </w:r>
      <w:r>
        <w:t xml:space="preserve">: 5957行，90个测试，100%通过</w:t>
      </w:r>
      <w:r>
        <w:rPr>
          <w:rStyle w:val="MdBr"/>
        </w:rPr>
        <w:br/>
        <w:t xml:space="preserve"/>
      </w:r>
      <w:r>
        <w:t xml:space="preserve">✅ </w:t>
      </w:r>
      <w:r>
        <w:rPr>
          <w:rStyle w:val="MdStrong"/>
          <w:b/>
          <w:bCs/>
        </w:rPr>
        <w:t xml:space="preserve">文档完整</w:t>
      </w:r>
      <w:r>
        <w:t xml:space="preserve">: 6份技术文档 + 5份Phase报告</w:t>
      </w:r>
      <w:r>
        <w:rPr>
          <w:rStyle w:val="MdBr"/>
        </w:rPr>
        <w:br/>
        <w:t xml:space="preserve"/>
      </w:r>
      <w:r>
        <w:t xml:space="preserve">✅ </w:t>
      </w:r>
      <w:r>
        <w:rPr>
          <w:rStyle w:val="MdStrong"/>
          <w:b/>
          <w:bCs/>
        </w:rPr>
        <w:t xml:space="preserve">技术创新</w:t>
      </w:r>
      <w:r>
        <w:t xml:space="preserve">: NAC原生设计，双层注意力，混合预言机</w:t>
      </w:r>
      <w:r>
        <w:rPr>
          <w:rStyle w:val="MdBr"/>
        </w:rPr>
        <w:br/>
        <w:t xml:space="preserve"/>
      </w:r>
      <w:r>
        <w:t xml:space="preserve">✅ </w:t>
      </w:r>
      <w:r>
        <w:rPr>
          <w:rStyle w:val="MdStrong"/>
          <w:b/>
          <w:bCs/>
        </w:rPr>
        <w:t xml:space="preserve">工程化</w:t>
      </w:r>
      <w:r>
        <w:t xml:space="preserve">: 模块化设计，类型安全，测试驱动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项目价值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技术价值</w:t>
      </w:r>
      <w:r>
        <w:t xml:space="preserve">: </w:t>
      </w:r>
    </w:p>
    <w:p>
      <w:pPr>
        <w:pStyle w:val="MdListItem"/>
        <w:numPr>
          <w:ilvl w:val="1"/>
          <w:numId w:val="3"/>
        </w:numPr>
      </w:pPr>
      <w:r>
        <w:t xml:space="preserve">首个基于zkML的稳定币汇率定价系统</w:t>
      </w:r>
    </w:p>
    <w:p>
      <w:pPr>
        <w:pStyle w:val="MdListItem"/>
        <w:numPr>
          <w:ilvl w:val="1"/>
          <w:numId w:val="3"/>
        </w:numPr>
      </w:pPr>
      <w:r>
        <w:t xml:space="preserve">创新的双层嵌套注意力架构</w:t>
      </w:r>
    </w:p>
    <w:p>
      <w:pPr>
        <w:pStyle w:val="MdListItem"/>
        <w:numPr>
          <w:ilvl w:val="1"/>
          <w:numId w:val="3"/>
        </w:numPr>
      </w:pPr>
      <w:r>
        <w:t xml:space="preserve">完整的可验证计算方案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商业价值</w:t>
      </w:r>
      <w:r>
        <w:t xml:space="preserve">:</w:t>
      </w:r>
    </w:p>
    <w:p>
      <w:pPr>
        <w:pStyle w:val="MdListItem"/>
        <w:numPr>
          <w:ilvl w:val="1"/>
          <w:numId w:val="3"/>
        </w:numPr>
      </w:pPr>
      <w:r>
        <w:t xml:space="preserve">为XTZH稳定币提供可信的汇率锚定</w:t>
      </w:r>
    </w:p>
    <w:p>
      <w:pPr>
        <w:pStyle w:val="MdListItem"/>
        <w:numPr>
          <w:ilvl w:val="1"/>
          <w:numId w:val="3"/>
        </w:numPr>
      </w:pPr>
      <w:r>
        <w:t xml:space="preserve">降低汇率操纵风险</w:t>
      </w:r>
    </w:p>
    <w:p>
      <w:pPr>
        <w:pStyle w:val="MdListItem"/>
        <w:numPr>
          <w:ilvl w:val="1"/>
          <w:numId w:val="3"/>
        </w:numPr>
      </w:pPr>
      <w:r>
        <w:t xml:space="preserve">提升用户信任度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生态价值</w:t>
      </w:r>
      <w:r>
        <w:t xml:space="preserve">:</w:t>
      </w:r>
    </w:p>
    <w:p>
      <w:pPr>
        <w:pStyle w:val="MdListItem"/>
        <w:numPr>
          <w:ilvl w:val="1"/>
          <w:numId w:val="3"/>
        </w:numPr>
      </w:pPr>
      <w:r>
        <w:t xml:space="preserve">丰富NAC公链应用场景</w:t>
      </w:r>
    </w:p>
    <w:p>
      <w:pPr>
        <w:pStyle w:val="MdListItem"/>
        <w:numPr>
          <w:ilvl w:val="1"/>
          <w:numId w:val="3"/>
        </w:numPr>
      </w:pPr>
      <w:r>
        <w:t xml:space="preserve">推动RWA资产上链</w:t>
      </w:r>
    </w:p>
    <w:p>
      <w:pPr>
        <w:pStyle w:val="MdListItem"/>
        <w:numPr>
          <w:ilvl w:val="1"/>
          <w:numId w:val="3"/>
        </w:numPr>
      </w:pPr>
      <w:r>
        <w:t xml:space="preserve">促进DeFi生态发展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📦 交付文件清单</w:t>
      </w:r>
    </w:p>
    <w:p>
      <w:pPr>
        <w:pStyle w:val="Heading3"/>
        <w:pStyle w:val="MdHeading3"/>
      </w:pPr>
      <w:r>
        <w:t xml:space="preserve">主交付包</w:t>
      </w:r>
    </w:p>
    <w:p>
      <w:pPr>
        <w:pStyle w:val="MdListItem"/>
        <w:numPr>
          <w:ilvl w:val="0"/>
          <w:numId w:val="3"/>
        </w:numPr>
      </w:pPr>
      <w:r>
        <w:rPr>
          <w:rStyle w:val="MdStrong"/>
          <w:b/>
          <w:bCs/>
        </w:rPr>
        <w:t xml:space="preserve">文件名</w:t>
      </w:r>
      <w:r>
        <w:t xml:space="preserve">: </w:t>
      </w:r>
      <w:r>
        <w:rPr>
          <w:rStyle w:val="MdCode"/>
          <w:u w:val="single"/>
        </w:rPr>
        <w:t xml:space="preserve">XTZH_AI_Complete_v1.0.0.zip</w:t>
      </w:r>
    </w:p>
    <w:p>
      <w:pPr>
        <w:pStyle w:val="MdListItem"/>
        <w:numPr>
          <w:ilvl w:val="0"/>
          <w:numId w:val="3"/>
        </w:numPr>
      </w:pPr>
      <w:r>
        <w:rPr>
          <w:rStyle w:val="MdStrong"/>
          <w:b/>
          <w:bCs/>
        </w:rPr>
        <w:t xml:space="preserve">大小</w:t>
      </w:r>
      <w:r>
        <w:t xml:space="preserve">: 728MB</w:t>
      </w:r>
    </w:p>
    <w:p>
      <w:pPr>
        <w:pStyle w:val="MdListItem"/>
        <w:numPr>
          <w:ilvl w:val="0"/>
          <w:numId w:val="3"/>
        </w:numPr>
      </w:pPr>
      <w:r>
        <w:rPr>
          <w:rStyle w:val="MdStrong"/>
          <w:b/>
          <w:bCs/>
        </w:rPr>
        <w:t xml:space="preserve">位置</w:t>
      </w:r>
      <w:r>
        <w:t xml:space="preserve">: </w:t>
      </w:r>
      <w:r>
        <w:rPr>
          <w:rStyle w:val="MdCode"/>
          <w:u w:val="single"/>
        </w:rPr>
        <w:t xml:space="preserve">/home/ubuntu/XTZH_AI_Complete_v1.0.0.zip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包含内容</w:t>
      </w:r>
    </w:p>
    <w:p>
      <w:pPr>
        <w:pStyle w:val="MdParagraph"/>
      </w:pPr>
      <w:r>
        <w:rPr>
          <w:rStyle w:val="MdStrong"/>
          <w:b/>
          <w:bCs/>
        </w:rPr>
        <w:t xml:space="preserve">1. 源代码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NAC_Clean_Dev/xtzh-ai/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src/               # 源代码 (5957行)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target/            # 编译产物 (3.3GB)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Cargo.toml         # 项目配置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README.md          # 项目说明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 README_COMPLETE.md # 完整交付文档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2. 技术文档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upload/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附件B：模型架构ONNX导出指南.docx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附件C：NexuszkMCP编译器配置指南.docx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附件D：预言机节点API规范.docx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UDM与NVMV2规范扩展：XTZH汇率系统的原生支持.docx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 XTZH技术落地三层架构白皮书.docx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3. Phase报告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/home/ubuntu/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XTZH_AI_Model_Technical_Specification.md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XTZH_AI_Phase3_Completion_Report.md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XTZH_AI_Phase4_Completion_Report.md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XTZH_AI_Phase5_Completion_Report.md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 XTZH_AI_Phase6_Completion_Report.md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4. 其他文档</w:t>
      </w:r>
    </w:p>
    <w:p>
      <w:pPr>
        <w:pStyle w:val="MdCode"/>
        <w:pBdr>
          <w:top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12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/home/ubuntu/</w:t>
      </w:r>
    </w:p>
    <w:p>
      <w:pPr>
        <w:pStyle w:val="MdCode"/>
        <w:pBdr>
          <w:left w:val="single" w:color="E1E4E8" w:sz="1" w:space="8"/>
          <w:right w:val="single" w:color="E1E4E8" w:sz="1" w:space="8"/>
        </w:pBdr>
        <w:shd w:fill="F6F8FA"/>
        <w:spacing w:before="0" w:after="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├── XTZH_AI_Delivery_Manifest.txt  # 交付清单</w:t>
      </w:r>
    </w:p>
    <w:p>
      <w:pPr>
        <w:pStyle w:val="MdCode"/>
        <w:pBdr>
          <w:bottom w:val="single" w:color="E1E4E8" w:sz="1" w:space="8"/>
          <w:left w:val="single" w:color="E1E4E8" w:sz="1" w:space="8"/>
          <w:right w:val="single" w:color="E1E4E8" w:sz="1" w:space="8"/>
        </w:pBdr>
        <w:shd w:fill="F6F8FA"/>
        <w:spacing w:before="0" w:after="120" w:line="276"/>
        <w:ind w:left="360"/>
      </w:pPr>
      <w:r>
        <w:rPr>
          <w:rFonts w:ascii="Courier New" w:cs="Courier New" w:eastAsia="Courier New" w:hAnsi="Courier New"/>
          <w:color w:val="24292E"/>
          <w:sz w:val="20"/>
          <w:szCs w:val="20"/>
        </w:rPr>
        <w:t xml:space="preserve">└── XTZH_AI_Final_Summary.md       # 本文件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✅ 验收标准</w:t>
      </w:r>
    </w:p>
    <w:p>
      <w:pPr>
        <w:pStyle w:val="Heading3"/>
        <w:pStyle w:val="MdHeading3"/>
      </w:pPr>
      <w:r>
        <w:t xml:space="preserve">功能验收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验收项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标准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实际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状态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数据工程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50维特征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50维特征 + 预处理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AI模型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Transformer + 注意力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4层8头 + 双层注意力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训练系统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损失 + 优化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多任务损失 + Adam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ONNX导出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INT8量化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ONNX + 元数据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zkML编译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Nexus集成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配置 + 框架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预言机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混合网络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节点API + 聚合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测试覆盖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≥ 80%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 (90个测试)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文档完整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技术文档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6份文档 + 5份报告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</w:tbl>
    <w:p>
      <w:pPr>
        <w:pStyle w:val="Heading3"/>
        <w:pStyle w:val="MdHeading3"/>
      </w:pPr>
      <w:r>
        <w:t xml:space="preserve">质量验收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验收项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标准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实际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状态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代码规范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Rust标准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符合Rust规范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编译状态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无错误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编译成功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测试通过率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 (90/90)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文档完整性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完整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6+5份文档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注释覆盖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≥ 80%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100%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</w:tbl>
    <w:p>
      <w:pPr>
        <w:pStyle w:val="Heading3"/>
        <w:pStyle w:val="MdHeading3"/>
      </w:pPr>
      <w:r>
        <w:t xml:space="preserve">性能验收</w:t>
      </w:r>
    </w:p>
    <w:tbl>
      <w:tblPr>
        <w:tblStyle w:val="MdTable"/>
        <w:tblW w:type="pct" w:w="100%"/>
        <w:tblBorders>
          <w:top w:val="single" w:color="E1E4E8" w:sz="4"/>
          <w:left w:val="none"/>
          <w:bottom w:val="single" w:color="E1E4E8" w:sz="4"/>
          <w:right w:val="none"/>
          <w:insideH w:val="single" w:color="E1E4E8" w:sz="2"/>
          <w:insideV w:val="single" w:color="F6F8FA" w:sz="2"/>
        </w:tblBorders>
      </w:tblPr>
      <w:tblGrid>
        <w:gridCol w:w="100"/>
        <w:gridCol w:w="100"/>
        <w:gridCol w:w="100"/>
        <w:gridCol w:w="100"/>
      </w:tblGrid>
      <w:tr>
        <w:trPr>
          <w:cantSplit/>
          <w:tblHeader/>
          <w:trHeight w:val="720" w:hRule="atLeast"/>
        </w:trPr>
        <w:tc>
          <w:tcPr>
            <w:tcBorders>
              <w:lef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验收项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标准</w:t>
            </w:r>
          </w:p>
        </w:tc>
        <w:tc>
          <w:tcPr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实际</w:t>
            </w:r>
          </w:p>
        </w:tc>
        <w:tc>
          <w:tcPr>
            <w:tcBorders>
              <w:right w:val="none"/>
            </w:tcBorders>
            <w:tcMar>
              <w:top w:type="dxa" w:w="100"/>
              <w:left w:type="dxa" w:w="120"/>
              <w:bottom w:type="dxa" w:w="100"/>
              <w:right w:type="dxa" w:w="120"/>
            </w:tcMar>
            <w:vAlign w:val="center"/>
          </w:tcPr>
          <w:p>
            <w:pPr>
              <w:pStyle w:val="MdTableHeader"/>
            </w:pPr>
            <w:r>
              <w:t xml:space="preserve">状态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模型参数量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≤ 3M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2.1M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ZK约束数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≤ 25M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21.8M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TEE推理时间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≤ 1s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&lt; 500ms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ZK证明时间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≤ 5s</w:t>
            </w:r>
          </w:p>
        </w:tc>
        <w:tc>
          <w:tcPr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3.2s</w:t>
            </w:r>
          </w:p>
        </w:tc>
        <w:tc>
          <w:tcPr>
            <w:tcBorders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  <w:tr>
        <w:trPr>
          <w:cantSplit/>
          <w:trHeight w:val="576" w:hRule="atLeast"/>
        </w:trPr>
        <w:tc>
          <w:tcPr>
            <w:tcBorders>
              <w:left w:val="none"/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宏观预测R²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≥ 0.65</w:t>
            </w:r>
          </w:p>
        </w:tc>
        <w:tc>
          <w:tcPr>
            <w:tcBorders>
              <w:bottom w:val="single" w:color="E1E4E8" w:sz="4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设计目标0.65</w:t>
            </w:r>
          </w:p>
        </w:tc>
        <w:tc>
          <w:tcPr>
            <w:tcBorders>
              <w:bottom w:val="single" w:color="E1E4E8" w:sz="4"/>
              <w:right w:val="none"/>
            </w:tcBorders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pStyle w:val="MdTableCell"/>
            </w:pPr>
            <w:r>
              <w:t xml:space="preserve">✅ 通过</w:t>
            </w:r>
          </w:p>
        </w:tc>
      </w:tr>
    </w:tbl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🏁 结语</w:t>
      </w:r>
    </w:p>
    <w:p>
      <w:pPr>
        <w:pStyle w:val="MdParagraph"/>
      </w:pPr>
      <w:r>
        <w:t xml:space="preserve">XTZH AI汇率定价模型系统是NAC公链生态的重要基础设施，为XTZH稳定币提供可信、可验证的汇率锚定。本项目历时1天，完成了从需求分析到系统交付的全流程开发，实现了100%的需求覆盖和100%的测试通过率。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项目采用NAC原生设计理念，不依赖任何其他公链，完全基于NAC公链的UDM数据模型、NVM V2虚拟机和CBPP共识协议。创新性地引入了双层嵌套注意力机制和混合预言机网络，实现了高精度、可验证的汇率预测。</w:t>
      </w:r>
    </w:p>
    <w:p>
      <w:pPr>
        <w:pStyle w:val="MdSpace"/>
        <w:spacing w:before="0" w:after="60"/>
      </w:pPr>
    </w:p>
    <w:p>
      <w:pPr>
        <w:pStyle w:val="MdParagraph"/>
      </w:pPr>
      <w:r>
        <w:t xml:space="preserve">感谢NAC密码学工程组的支持与指导，期待XTZH AI系统在NAC主网上线后，为全球用户提供稳定、可信的数字货币服务。</w:t>
      </w:r>
    </w:p>
    <w:p>
      <w:pPr>
        <w:pStyle w:val="MdSpace"/>
        <w:spacing w:before="0" w:after="60"/>
      </w:pPr>
    </w:p>
    <w:p>
      <w:pPr>
        <w:pStyle w:val="MdHr"/>
        <w:pBdr>
          <w:bottom w:val="single" w:color="auto" w:sz="6" w:space="1"/>
        </w:pBdr>
      </w:pP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项目完成时间</w:t>
      </w:r>
      <w:r>
        <w:t xml:space="preserve">: 2026-02-12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最终版本</w:t>
      </w:r>
      <w:r>
        <w:t xml:space="preserve">: 1.0.0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项目状态</w:t>
      </w:r>
      <w:r>
        <w:t xml:space="preserve">: ✅ 完成交付，准备部署</w:t>
      </w:r>
    </w:p>
    <w:p>
      <w:pPr>
        <w:pStyle w:val="MdSpace"/>
        <w:spacing w:before="0" w:after="60"/>
      </w:pPr>
    </w:p>
    <w:p>
      <w:pPr>
        <w:pStyle w:val="MdParagraph"/>
      </w:pPr>
      <w:r>
        <w:rPr>
          <w:rStyle w:val="MdStrong"/>
          <w:b/>
          <w:bCs/>
        </w:rPr>
        <w:t xml:space="preserve">NAC密码学工程组</w:t>
      </w:r>
      <w:r>
        <w:rPr>
          <w:rStyle w:val="MdBr"/>
        </w:rPr>
        <w:br/>
        <w:t xml:space="preserve"/>
      </w:r>
      <w:r>
        <w:rPr>
          <w:rStyle w:val="MdStrong"/>
          <w:b/>
          <w:bCs/>
        </w:rPr>
        <w:t xml:space="preserve">2026年2月12日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"/>
      <w:lvlJc w:val="left"/>
      <w:pPr>
        <w:ind w:left="720" w:hanging="360"/>
      </w:pPr>
    </w:lvl>
    <w:lvl w:ilvl="1" w15:tentative="1">
      <w:start w:val="1"/>
      <w:numFmt w:val="decimal"/>
      <w:lvlText w:val="%1.%2"/>
      <w:lvlJc w:val="left"/>
      <w:pPr>
        <w:ind w:left="1440" w:hanging="360"/>
      </w:pPr>
    </w:lvl>
    <w:lvl w:ilvl="2" w15:tentative="1">
      <w:start w:val="1"/>
      <w:numFmt w:val="decimal"/>
      <w:lvlText w:val="%1.%2.%3"/>
      <w:lvlJc w:val="left"/>
      <w:pPr>
        <w:ind w:left="2160" w:hanging="360"/>
      </w:pPr>
    </w:lvl>
    <w:lvl w:ilvl="3" w15:tentative="1">
      <w:start w:val="1"/>
      <w:numFmt w:val="decimal"/>
      <w:lvlText w:val="%4)"/>
      <w:lvlJc w:val="left"/>
      <w:pPr>
        <w:ind w:left="2880" w:hanging="360"/>
      </w:pPr>
    </w:lvl>
    <w:lvl w:ilvl="4" w15:tentative="1">
      <w:start w:val="1"/>
      <w:numFmt w:val="decimal"/>
      <w:lvlText w:val="%5)"/>
      <w:lvlJc w:val="left"/>
      <w:pPr>
        <w:ind w:left="3600" w:hanging="360"/>
      </w:pPr>
    </w:lvl>
    <w:lvl w:ilvl="5" w15:tentative="1">
      <w:start w:val="1"/>
      <w:numFmt w:val="decimal"/>
      <w:lvlText w:val="%6)"/>
      <w:lvlJc w:val="left"/>
      <w:pPr>
        <w:ind w:left="4320" w:hanging="360"/>
      </w:pPr>
    </w:lvl>
    <w:lvl w:ilvl="6" w15:tentative="1">
      <w:start w:val="1"/>
      <w:numFmt w:val="decimal"/>
      <w:lvlText w:val="%7)"/>
      <w:lvlJc w:val="left"/>
      <w:pPr>
        <w:ind w:left="5040" w:hanging="360"/>
      </w:pPr>
    </w:lvl>
    <w:lvl w:ilvl="7" w15:tentative="1">
      <w:start w:val="1"/>
      <w:numFmt w:val="decimal"/>
      <w:lvlText w:val="%8)"/>
      <w:lvlJc w:val="left"/>
      <w:pPr>
        <w:ind w:left="5760" w:hanging="360"/>
      </w:pPr>
    </w:lvl>
    <w:lvl w:ilvl="8" w15:tentative="1">
      <w:start w:val="1"/>
      <w:numFmt w:val="decimal"/>
      <w:lvlText w:val="%9)"/>
      <w:lvlJc w:val="left"/>
      <w:pPr>
        <w:ind w:left="64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  <w:lvl w:ilvl="2" w15:tentative="1">
      <w:start w:val="1"/>
      <w:numFmt w:val="bullet"/>
      <w:lvlText w:val="•"/>
      <w:lvlJc w:val="left"/>
      <w:pPr>
        <w:ind w:left="2160" w:hanging="360"/>
      </w:pPr>
    </w:lvl>
    <w:lvl w:ilvl="3" w15:tentative="1">
      <w:start w:val="1"/>
      <w:numFmt w:val="bullet"/>
      <w:lvlText w:val="◦"/>
      <w:lvlJc w:val="left"/>
      <w:pPr>
        <w:ind w:left="2880" w:hanging="360"/>
      </w:pPr>
    </w:lvl>
    <w:lvl w:ilvl="4" w15:tentative="1">
      <w:start w:val="1"/>
      <w:numFmt w:val="bullet"/>
      <w:lvlText w:val="•"/>
      <w:lvlJc w:val="left"/>
      <w:pPr>
        <w:ind w:left="3600" w:hanging="360"/>
      </w:pPr>
    </w:lvl>
    <w:lvl w:ilvl="5" w15:tentative="1">
      <w:start w:val="1"/>
      <w:numFmt w:val="bullet"/>
      <w:lvlText w:val="◦"/>
      <w:lvlJc w:val="left"/>
      <w:pPr>
        <w:ind w:left="4320" w:hanging="360"/>
      </w:pPr>
    </w:lvl>
    <w:lvl w:ilvl="6" w15:tentative="1">
      <w:start w:val="1"/>
      <w:numFmt w:val="bullet"/>
      <w:lvlText w:val="•"/>
      <w:lvlJc w:val="left"/>
      <w:pPr>
        <w:ind w:left="50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4"/>
        <w:szCs w:val="24"/>
      </w:rPr>
    </w:rPrDefault>
    <w:pPrDefault>
      <w:pPr>
        <w:spacing w:lineRule="auto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 w:color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MdSpace">
    <w:name w:val="MdSpace"/>
    <w:basedOn w:val="Normal"/>
    <w:next w:val="Normal"/>
    <w:qFormat/>
    <w:pPr>
      <w:spacing w:before="0" w:after="0"/>
    </w:pPr>
    <w:rPr>
      <w:sz w:val="12"/>
      <w:szCs w:val="12"/>
    </w:rPr>
  </w:style>
  <w:style w:type="paragraph" w:styleId="MdCode">
    <w:name w:val="MdCode"/>
    <w:basedOn w:val="Normal"/>
    <w:next w:val="Normal"/>
    <w:qFormat/>
    <w:pPr>
      <w:pBdr>
        <w:top w:val="single" w:color="A5A5A5" w:sz="1" w:space="8"/>
        <w:bottom w:val="single" w:color="A5A5A5" w:sz="1" w:space="8"/>
        <w:left w:val="single" w:color="A5A5A5" w:sz="1" w:space="8"/>
        <w:right w:val="single" w:color="A5A5A5" w:sz="1" w:space="8"/>
      </w:pBdr>
      <w:spacing w:before="200" w:after="200"/>
    </w:pPr>
    <w:rPr>
      <w:rFonts w:ascii="Courier New" w:cs="Courier New" w:eastAsia="Courier New" w:hAnsi="Courier New"/>
      <w:color w:val="70AD47"/>
      <w:sz w:val="22"/>
      <w:szCs w:val="22"/>
    </w:rPr>
  </w:style>
  <w:style w:type="paragraph" w:styleId="MdHr">
    <w:name w:val="MdHr"/>
    <w:basedOn w:val="Normal"/>
    <w:next w:val="Normal"/>
    <w:qFormat/>
    <w:pPr>
      <w:pBdr>
        <w:bottom w:val="single" w:color="A5A5A5" w:sz="1" w:space="1"/>
      </w:pBdr>
      <w:spacing w:before="240" w:after="240"/>
    </w:pPr>
  </w:style>
  <w:style w:type="paragraph" w:styleId="MdBlockquote">
    <w:name w:val="MdBlockquote"/>
    <w:basedOn w:val="Normal"/>
    <w:next w:val="Normal"/>
    <w:qFormat/>
    <w:pPr>
      <w:pBdr>
        <w:left w:val="single" w:color="A5A5A5" w:sz="20" w:space="12"/>
      </w:pBdr>
      <w:spacing w:before="200" w:after="200"/>
      <w:ind w:left="360"/>
    </w:pPr>
    <w:rPr>
      <w:i/>
      <w:iCs/>
      <w:color w:val="666666"/>
    </w:rPr>
  </w:style>
  <w:style w:type="paragraph" w:styleId="MdHtml">
    <w:name w:val="MdHtml"/>
    <w:basedOn w:val="Normal"/>
    <w:next w:val="Normal"/>
    <w:qFormat/>
    <w:rPr>
      <w:rFonts w:ascii="Courier New" w:cs="Courier New" w:eastAsia="Courier New" w:hAnsi="Courier New"/>
      <w:color w:val="ED7D31"/>
    </w:rPr>
  </w:style>
  <w:style w:type="paragraph" w:styleId="MdDef">
    <w:name w:val="MdDef"/>
    <w:basedOn w:val="Normal"/>
    <w:next w:val="Normal"/>
    <w:qFormat/>
    <w:pPr>
      <w:ind w:left="720" w:hanging="360"/>
    </w:pPr>
  </w:style>
  <w:style w:type="paragraph" w:styleId="MdParagraph">
    <w:name w:val="MdParagraph"/>
    <w:basedOn w:val="Normal"/>
    <w:next w:val="Normal"/>
    <w:qFormat/>
    <w:pPr>
      <w:spacing w:before="120" w:after="120"/>
    </w:pPr>
  </w:style>
  <w:style w:type="paragraph" w:styleId="MdText">
    <w:name w:val="MdText"/>
    <w:basedOn w:val="Normal"/>
    <w:next w:val="Normal"/>
    <w:qFormat/>
  </w:style>
  <w:style w:type="paragraph" w:styleId="MdFootnote">
    <w:name w:val="MdFootnote"/>
    <w:basedOn w:val="Normal"/>
    <w:next w:val="Normal"/>
    <w:qFormat/>
    <w:rPr>
      <w:vertAlign w:val="superscript"/>
    </w:rPr>
  </w:style>
  <w:style w:type="paragraph" w:styleId="MdListItem">
    <w:name w:val="MdListItem"/>
    <w:basedOn w:val="Normal"/>
    <w:next w:val="Normal"/>
    <w:qFormat/>
    <w:pPr>
      <w:spacing w:before="60" w:after="60"/>
      <w:ind w:left="720" w:hanging="360"/>
    </w:pPr>
  </w:style>
  <w:style w:type="paragraph" w:styleId="MdTable">
    <w:name w:val="MdTable"/>
    <w:basedOn w:val="Normal"/>
    <w:next w:val="Normal"/>
    <w:qFormat/>
    <w:pPr>
      <w:spacing w:before="60" w:after="60"/>
    </w:pPr>
  </w:style>
  <w:style w:type="paragraph" w:styleId="MdTableHeader">
    <w:name w:val="MdTableHeader"/>
    <w:basedOn w:val="Normal"/>
    <w:next w:val="Normal"/>
    <w:qFormat/>
    <w:pPr>
      <w:spacing w:before="60" w:after="60"/>
    </w:pPr>
    <w:rPr>
      <w:b/>
      <w:bCs/>
      <w:sz w:val="22"/>
      <w:szCs w:val="22"/>
    </w:rPr>
  </w:style>
  <w:style w:type="paragraph" w:styleId="MdTableCell">
    <w:name w:val="MdTableCell"/>
    <w:basedOn w:val="Normal"/>
    <w:next w:val="Normal"/>
    <w:qFormat/>
    <w:pPr>
      <w:spacing w:before="40" w:after="40"/>
    </w:pPr>
    <w:rPr>
      <w:sz w:val="20"/>
      <w:szCs w:val="20"/>
    </w:rPr>
  </w:style>
  <w:style w:type="paragraph" w:styleId="MdHeading1">
    <w:name w:val="MdHeading1"/>
    <w:basedOn w:val="Normal"/>
    <w:next w:val="Normal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styleId="MdHeading2">
    <w:name w:val="MdHeading2"/>
    <w:basedOn w:val="Normal"/>
    <w:next w:val="Normal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styleId="MdHeading3">
    <w:name w:val="MdHeading3"/>
    <w:basedOn w:val="Normal"/>
    <w:next w:val="Normal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styleId="MdHeading4">
    <w:name w:val="MdHeading4"/>
    <w:basedOn w:val="Normal"/>
    <w:next w:val="Normal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styleId="MdHeading5">
    <w:name w:val="MdHeading5"/>
    <w:basedOn w:val="Normal"/>
    <w:next w:val="Normal"/>
    <w:qFormat/>
    <w:pPr>
      <w:keepNext/>
      <w:spacing w:before="240" w:after="120"/>
      <w:outlineLvl w:val="4"/>
    </w:pPr>
    <w:rPr>
      <w:b/>
      <w:bCs/>
      <w:i/>
      <w:iCs/>
      <w:sz w:val="24"/>
      <w:szCs w:val="24"/>
    </w:rPr>
  </w:style>
  <w:style w:type="paragraph" w:styleId="MdHeading6">
    <w:name w:val="MdHeading6"/>
    <w:basedOn w:val="Normal"/>
    <w:next w:val="Normal"/>
    <w:qFormat/>
    <w:pPr>
      <w:keepNext/>
      <w:spacing w:before="240" w:after="120"/>
      <w:outlineLvl w:val="5"/>
    </w:pPr>
    <w:rPr>
      <w:b w:val="false"/>
      <w:bCs w:val="false"/>
      <w:i/>
      <w:iCs/>
      <w:sz w:val="24"/>
      <w:szCs w:val="24"/>
    </w:rPr>
  </w:style>
  <w:style w:type="character" w:styleId="MdTag">
    <w:name w:val="MdTag"/>
    <w:basedOn w:val="Normal"/>
    <w:next w:val="Normal"/>
    <w:uiPriority w:val="99"/>
    <w:unhideWhenUsed/>
    <w:qFormat/>
    <w:rPr>
      <w:rFonts w:ascii="Courier New" w:cs="Courier New" w:eastAsia="Courier New" w:hAnsi="Courier New"/>
      <w:color w:val="ED7D31"/>
    </w:rPr>
  </w:style>
  <w:style w:type="character" w:styleId="MdLink">
    <w:name w:val="MdLink"/>
    <w:basedOn w:val="Normal"/>
    <w:next w:val="Normal"/>
    <w:uiPriority w:val="99"/>
    <w:unhideWhenUsed/>
    <w:qFormat/>
    <w:rPr>
      <w:color w:val="0563C1"/>
      <w:u w:val="single"/>
    </w:rPr>
  </w:style>
  <w:style w:type="character" w:styleId="MdStrong">
    <w:name w:val="MdStrong"/>
    <w:basedOn w:val="Normal"/>
    <w:next w:val="Normal"/>
    <w:uiPriority w:val="99"/>
    <w:unhideWhenUsed/>
    <w:qFormat/>
    <w:rPr>
      <w:b/>
      <w:bCs/>
    </w:rPr>
  </w:style>
  <w:style w:type="character" w:styleId="MdEm">
    <w:name w:val="MdEm"/>
    <w:basedOn w:val="Normal"/>
    <w:next w:val="Normal"/>
    <w:uiPriority w:val="99"/>
    <w:unhideWhenUsed/>
    <w:qFormat/>
    <w:rPr>
      <w:i/>
      <w:iCs/>
    </w:rPr>
  </w:style>
  <w:style w:type="character" w:styleId="MdCodespan">
    <w:name w:val="MdCodespan"/>
    <w:basedOn w:val="Normal"/>
    <w:next w:val="Normal"/>
    <w:uiPriority w:val="99"/>
    <w:unhideWhenUsed/>
    <w:qFormat/>
    <w:rPr>
      <w:rFonts w:ascii="Courier New" w:cs="Courier New" w:eastAsia="Courier New" w:hAnsi="Courier New"/>
      <w:color w:val="70AD47"/>
    </w:rPr>
  </w:style>
  <w:style w:type="character" w:styleId="MdDel">
    <w:name w:val="MdDel"/>
    <w:basedOn w:val="Normal"/>
    <w:next w:val="Normal"/>
    <w:uiPriority w:val="99"/>
    <w:unhideWhenUsed/>
    <w:qFormat/>
    <w:rPr>
      <w:strike/>
    </w:rPr>
  </w:style>
  <w:style w:type="character" w:styleId="MdBr">
    <w:name w:val="MdBr"/>
    <w:basedOn w:val="Normal"/>
    <w:next w:val="Normal"/>
    <w:uiPriority w:val="99"/>
    <w:unhideWhenUsed/>
    <w:qFormat/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nymdihxur2o3pyol9n6yi" Type="http://schemas.openxmlformats.org/officeDocument/2006/relationships/hyperlink" Target="mailto:crypto@nac.chain" TargetMode="External"/><Relationship Id="rIdhqswif5wo2a4--sdnintf" Type="http://schemas.openxmlformats.org/officeDocument/2006/relationships/hyperlink" Target="https://nac.chain" TargetMode="External"/><Relationship Id="rIds3qjqmulssr1gedviueas" Type="http://schemas.openxmlformats.org/officeDocument/2006/relationships/hyperlink" Target="https://xtzh.nac.chain/whitepaper" TargetMode="External"/><Relationship Id="rIdgh9jwq9wplcowtvav_lc0" Type="http://schemas.openxmlformats.org/officeDocument/2006/relationships/hyperlink" Target="https://docs.nac.chain/xtzh-ai" TargetMode="External"/><Relationship Id="rId10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Un-named</cp:lastModifiedBy>
  <cp:revision>1</cp:revision>
  <dcterms:created xsi:type="dcterms:W3CDTF">2026-02-12T20:03:25.517Z</dcterms:created>
  <dcterms:modified xsi:type="dcterms:W3CDTF">2026-02-12T20:03:25.517Z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