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cargo-constitution v0.1 Lint详细规格说明书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版本：</w:t>
      </w:r>
      <w:r>
        <w:rPr>
          <w:rFonts w:eastAsia="等线" w:ascii="Arial" w:cs="Arial" w:hAnsi="Arial"/>
          <w:sz w:val="22"/>
        </w:rPr>
        <w:t>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制定方：</w:t>
      </w:r>
      <w:r>
        <w:rPr>
          <w:rFonts w:eastAsia="等线" w:ascii="Arial" w:cs="Arial" w:hAnsi="Arial"/>
          <w:sz w:val="22"/>
        </w:rPr>
        <w:t>NAC宪法静态验证工作组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Lint: constitutional_param_sync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1.1 检测目标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CBPP共识层代码中硬编码的区块生产时间参数（Δt_min、Δt_max）必须与宪法附录中的定义保持一致。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1.2 触发模式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变量名模式：dt_min、Δt_min、DT_MIN、block_interval_min、min_block_interval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赋值表达式：let &lt;ident&gt; = &lt;literal_int&gt;; 或 const &lt;ident&gt;: u64 = &lt;literal_int&gt;;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函数参数默认值：fn foo(dt_min: u64 = 100)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1.3 宪法绑定条款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CONS_FLUID_BLOCK / CBPP_DT_MIN、CBPP_DT_MAX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1.4 错误示例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错误：硬编码100ms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 DT_MIN: u64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should_produce_block()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dt_min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1.5 修正建议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✅ 正确：从宪法状态文件导入常量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constitutional_state::parameters::CBPP_DT_MIN;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 DT_MIN: u64 = CBPP_DT_MIN;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should_produce_block()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dt_min = CBPP_DT_MIN;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1.6 Lint 输出示例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error: Δt_min硬编码为100ms，但现行宪法规定为150ms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--&gt; crates/cbpp/src/block_producer.rs:42:17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42 |     let dt_min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|                 ^^^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= help: 请改用 constitutional_state::parameters::CBPP_DT_MIN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= note: 此参数由宪法条款 CONS_FLUID_BLOCK 动态治理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1.7 测试用例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825"/>
        <w:gridCol w:w="1905"/>
        <w:gridCol w:w="2550"/>
      </w:tblGrid>
      <w:tr>
        <w:tc>
          <w:tcPr>
            <w:tcW w:w="38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输入代码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期望结果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测试文件</w:t>
            </w:r>
          </w:p>
        </w:tc>
      </w:tr>
      <w:tr>
        <w:tc>
          <w:tcPr>
            <w:tcW w:w="38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let Δt_min = 100;（宪法值为150）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报错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ui/param_sync_fail.rs</w:t>
            </w:r>
          </w:p>
        </w:tc>
      </w:tr>
      <w:tr>
        <w:tc>
          <w:tcPr>
            <w:tcW w:w="38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let dt_min = CBPP_DT_MIN;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通过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ui/param_sync_pass.rs</w:t>
            </w:r>
          </w:p>
        </w:tc>
      </w:tr>
      <w:tr>
        <w:tc>
          <w:tcPr>
            <w:tcW w:w="38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 MIN_INTERVAL: u64 = 150;（宪法值150）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通过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ui/param_sync_const_pass.rs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2. Lint: gold_coverage_const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2.1 检测目标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黄金覆盖率计算中硬编码阈值（如1.25、125）必须引用宪法常量XTZH_GOLD_COVERAGE_MIN。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2.2 触发模式</w:t>
      </w:r>
      <w:bookmarkEnd w:id="10"/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浮点数比较：coverage &gt;= 1.25、coverage &gt; 1.24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整数比较：coverage_bps &gt;= 12500（基点表示）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函数返回值：fn min_coverage() -&gt; f64 { 1.25 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2.3 宪法绑定条款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XTZH_GOLD_COVERAGE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2.4 错误示例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错误：硬编码1.25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check_coverage(holding: u64, target: u64)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ratio = holding as f64 / target as f64;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ratio &gt;= 1.25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2.5 修正建议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✅ 正确：使用宪法常量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constitutional_state::parameters::XTZH_GOLD_COVERAGE_MIN;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check_coverage(holding: u64, target: u64)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ratio = holding as f64 / target as f64;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ratio &gt;= 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2.6 Lint 输出示例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error: 黄金覆盖率阈值硬编码为1.25，但宪法当前值为1.30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--&gt; crates/xtzh/src/gold_reserve.rs:88:20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88 |         ratio &gt;= 1.25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|                    ^^^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= help: 使用 constitutional_state::parameters::XTZH_GOLD_COVERAGE_MIN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3. Lint: cbp_hardware_literal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3.1 检测目标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CBP注册代码中硬编码的最低硬件规格（CPU核心数、内存、带宽）必须引用宪法常量。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3.2 触发模式</w:t>
      </w:r>
      <w:bookmarkEnd w:id="17"/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结构体字段赋值：CBPInfo { cpu_cores: 4, .. }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条件判断：if cores &lt; 4 { reject(); }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常量定义：const MIN_CORES: u64 = 4;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3.3 宪法绑定条款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CBP_HARDWARE_MIN（含CBP_HW_MIN_CORES、CBP_HW_MIN_RAM_GB、CBP_HW_MIN_BANDWIDTH_MBPS）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3.4 错误示例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错误：硬编码4核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register_cbp(cores: u64) -&gt; Result&lt;()&gt;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if cores &lt; 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return Err(Error::InsufficientHardware);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3.5 修正建议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constitutional_state::parameters::CBP_HW_MIN_CORES;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register_cbp(cores: u64) -&gt; Result&lt;()&gt;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if cores &lt; CBP_HW_MIN_CORES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return Err(Error::InsufficientHardware);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4. Lint: oracle_penalty_literal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4.1 检测目标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预言机节点罚金代码中硬扣费金额必须引用宪法常量ORACLE_ERROR_PENALTY。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4.2 触发模式</w:t>
      </w:r>
      <w:bookmarkEnd w:id="23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XTZH转账：xtzh::transfer(from, 10000) 或 penalty = 10000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常量定义：const PENALTY: u64 = 10_000;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4.3 宪法绑定条款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ORACLE_REPORTING_PENALTY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4.4 错误示例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错误：硬编码10000 XIC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penalize_oracle(node: Address)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xtzh::transfer(node, treasury, 10000);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4.5 修正建议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constitutional_state::parameters::ORACLE_ERROR_PENALTY;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penalize_oracle(node: Address)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xtzh::transfer(node, treasury, ORACLE_ERROR_PENALTY);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7" w:id="27"/>
      <w:r>
        <w:rPr>
          <w:rFonts w:eastAsia="等线" w:ascii="Arial" w:cs="Arial" w:hAnsi="Arial"/>
          <w:b w:val="true"/>
          <w:sz w:val="36"/>
        </w:rPr>
        <w:t>5. Lint: redemption_wait_days</w:t>
      </w:r>
      <w:bookmarkEnd w:id="2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5.1 检测目标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赎回队列最长等待时间硬编码为30 * 86400等必须引用宪法常量REDEMPTION_QUEUE_MAX_DAYS。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5.2 触发模式</w:t>
      </w:r>
      <w:bookmarkEnd w:id="29"/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乘法表达式：30 * 86400、30 * 24 * 3600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常量定义：const MAX_WAIT: u64 = 2_592_000;（30天的秒数）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5.3 宪法绑定条款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XTZH_REDEMPTION_QUEUE_MAX_WAIT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5.4 错误示例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错误：硬编码30天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 MAX_WAIT_SECONDS: u64 = 30 * 24 * 3600;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5.5 修正建议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constitutional_state::parameters::REDEMPTION_QUEUE_MAX_DAYS;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 MAX_WAIT_SECONDS: u64 = REDEMPTION_QUEUE_MAX_DAYS * 24 * 3600;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6. Lint: xtzh_mint_without_cr</w:t>
      </w:r>
      <w:bookmarkEnd w:id="3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6.1 检测目标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XTZH铸造函数缺少宪法收据验证调用，违反CONS_CR_MANDATORY条款。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5" w:id="35"/>
      <w:r>
        <w:rPr>
          <w:rFonts w:eastAsia="等线" w:ascii="Arial" w:cs="Arial" w:hAnsi="Arial"/>
          <w:b w:val="true"/>
          <w:sz w:val="32"/>
        </w:rPr>
        <w:t>6.2 触发模式</w:t>
      </w:r>
      <w:bookmarkEnd w:id="35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函数名包含mint、issue且属于XTZH模块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函数体内没有调用__constitutional_verify_receipt或cr::verify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6" w:id="36"/>
      <w:r>
        <w:rPr>
          <w:rFonts w:eastAsia="等线" w:ascii="Arial" w:cs="Arial" w:hAnsi="Arial"/>
          <w:b w:val="true"/>
          <w:sz w:val="32"/>
        </w:rPr>
        <w:t>6.3 宪法绑定条款</w:t>
      </w:r>
      <w:bookmarkEnd w:id="3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CONS_CR_MANDATORY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7" w:id="37"/>
      <w:r>
        <w:rPr>
          <w:rFonts w:eastAsia="等线" w:ascii="Arial" w:cs="Arial" w:hAnsi="Arial"/>
          <w:b w:val="true"/>
          <w:sz w:val="32"/>
        </w:rPr>
        <w:t>6.4 错误示例</w:t>
      </w:r>
      <w:bookmarkEnd w:id="3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错误：没有收据验证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fn mint(amount: u64)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直接铸造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total_supply += amount;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balances[caller] += amount;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8" w:id="38"/>
      <w:r>
        <w:rPr>
          <w:rFonts w:eastAsia="等线" w:ascii="Arial" w:cs="Arial" w:hAnsi="Arial"/>
          <w:b w:val="true"/>
          <w:sz w:val="32"/>
        </w:rPr>
        <w:t>6.5 修正建议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fn mint(amount: u64)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cr = get_current_transaction_receipt();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__constitutional_verify_receipt(&amp;cr);  // 编译期要求必须存在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后续铸造逻辑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9" w:id="39"/>
      <w:r>
        <w:rPr>
          <w:rFonts w:eastAsia="等线" w:ascii="Arial" w:cs="Arial" w:hAnsi="Arial"/>
          <w:b w:val="true"/>
          <w:sz w:val="32"/>
        </w:rPr>
        <w:t>6.6 特殊说明</w:t>
      </w:r>
      <w:bookmarkEnd w:id="3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由于收据验证可能位于调用链深层，此Lint采用保守策略：若函数体内无任何直接或间接调用宪法验证宏，则报警。可通过#[constitutional(skip)]显式豁免。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0" w:id="40"/>
      <w:r>
        <w:rPr>
          <w:rFonts w:eastAsia="等线" w:ascii="Arial" w:cs="Arial" w:hAnsi="Arial"/>
          <w:b w:val="true"/>
          <w:sz w:val="36"/>
        </w:rPr>
        <w:t>7. Lint: gnacs_risk_weight_switch</w:t>
      </w:r>
      <w:bookmarkEnd w:id="4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1" w:id="41"/>
      <w:r>
        <w:rPr>
          <w:rFonts w:eastAsia="等线" w:ascii="Arial" w:cs="Arial" w:hAnsi="Arial"/>
          <w:b w:val="true"/>
          <w:sz w:val="32"/>
        </w:rPr>
        <w:t>7.1 检测目标</w:t>
      </w:r>
      <w:bookmarkEnd w:id="4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GNACS风险权重映射表（risk weight table）必须完整覆盖宪法附录定义的枚举值，缺失将导致资产定价错误。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2" w:id="42"/>
      <w:r>
        <w:rPr>
          <w:rFonts w:eastAsia="等线" w:ascii="Arial" w:cs="Arial" w:hAnsi="Arial"/>
          <w:b w:val="true"/>
          <w:sz w:val="32"/>
        </w:rPr>
        <w:t>7.2 触发模式</w:t>
      </w:r>
      <w:bookmarkEnd w:id="42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match risk_weight_code { ... } 缺少某些枚举分支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From&lt;u8&gt; for RiskWeight 未覆盖0..=8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3" w:id="43"/>
      <w:r>
        <w:rPr>
          <w:rFonts w:eastAsia="等线" w:ascii="Arial" w:cs="Arial" w:hAnsi="Arial"/>
          <w:b w:val="true"/>
          <w:sz w:val="32"/>
        </w:rPr>
        <w:t>7.3 宪法绑定条款</w:t>
      </w:r>
      <w:bookmarkEnd w:id="4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GNACS_GENERATION_RULE + 附录“风险权重编码表”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4" w:id="44"/>
      <w:r>
        <w:rPr>
          <w:rFonts w:eastAsia="等线" w:ascii="Arial" w:cs="Arial" w:hAnsi="Arial"/>
          <w:b w:val="true"/>
          <w:sz w:val="32"/>
        </w:rPr>
        <w:t>7.4 错误示例</w:t>
      </w:r>
      <w:bookmarkEnd w:id="4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错误：缺少对权重6、7、8的处理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parse_risk_weight(code: u8)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match code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0 =&gt; 0.0,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1 =&gt; 0.2,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2 =&gt; 0.5,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3 =&gt; 0.75,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4 =&gt; 1.0,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 =&gt; 1.5,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_ =&gt; panic!("unsupported"),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5" w:id="45"/>
      <w:r>
        <w:rPr>
          <w:rFonts w:eastAsia="等线" w:ascii="Arial" w:cs="Arial" w:hAnsi="Arial"/>
          <w:b w:val="true"/>
          <w:sz w:val="32"/>
        </w:rPr>
        <w:t>7.5 修正建议</w:t>
      </w:r>
      <w:bookmarkEnd w:id="4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parse_risk_weight(code: u8)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match code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0 =&gt; 0.0,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1 =&gt; 0.2,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2 =&gt; 0.5,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3 =&gt; 0.75,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4 =&gt; 1.0,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5 =&gt; 1.5,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6 =&gt; 2.5,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7 =&gt; 4.0,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8 =&gt; 12.5,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_ =&gt; panic!("invalid risk weight code"),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6" w:id="46"/>
      <w:r>
        <w:rPr>
          <w:rFonts w:eastAsia="等线" w:ascii="Arial" w:cs="Arial" w:hAnsi="Arial"/>
          <w:b w:val="true"/>
          <w:sz w:val="36"/>
        </w:rPr>
        <w:t>8. Lint: cbp_geo_diversity_hint</w:t>
      </w:r>
      <w:bookmarkEnd w:id="4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7" w:id="47"/>
      <w:r>
        <w:rPr>
          <w:rFonts w:eastAsia="等线" w:ascii="Arial" w:cs="Arial" w:hAnsi="Arial"/>
          <w:b w:val="true"/>
          <w:sz w:val="32"/>
        </w:rPr>
        <w:t>8.1 检测目标</w:t>
      </w:r>
      <w:bookmarkEnd w:id="4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CBP节点未显式标注地理位置信息，导致网络无法执行地理多样性约束。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8" w:id="48"/>
      <w:r>
        <w:rPr>
          <w:rFonts w:eastAsia="等线" w:ascii="Arial" w:cs="Arial" w:hAnsi="Arial"/>
          <w:b w:val="true"/>
          <w:sz w:val="32"/>
        </w:rPr>
        <w:t>8.2 触发模式</w:t>
      </w:r>
      <w:bookmarkEnd w:id="4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CBP注册结构体（CBPInfo）中未包含region字段或字段值为None/Unknown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9" w:id="49"/>
      <w:r>
        <w:rPr>
          <w:rFonts w:eastAsia="等线" w:ascii="Arial" w:cs="Arial" w:hAnsi="Arial"/>
          <w:b w:val="true"/>
          <w:sz w:val="32"/>
        </w:rPr>
        <w:t>8.3 宪法绑定条款</w:t>
      </w:r>
      <w:bookmarkEnd w:id="4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CBP_GEO_DIVERSITY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0" w:id="50"/>
      <w:r>
        <w:rPr>
          <w:rFonts w:eastAsia="等线" w:ascii="Arial" w:cs="Arial" w:hAnsi="Arial"/>
          <w:b w:val="true"/>
          <w:sz w:val="32"/>
        </w:rPr>
        <w:t>8.4 错误示例</w:t>
      </w:r>
      <w:bookmarkEnd w:id="5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错误：未指定地理位置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cbp = CBPInfo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node_id: did,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pubkey: key,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region 字段缺失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1" w:id="51"/>
      <w:r>
        <w:rPr>
          <w:rFonts w:eastAsia="等线" w:ascii="Arial" w:cs="Arial" w:hAnsi="Arial"/>
          <w:b w:val="true"/>
          <w:sz w:val="32"/>
        </w:rPr>
        <w:t>8.5 修正建议</w:t>
      </w:r>
      <w:bookmarkEnd w:id="5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cbp = CBPInfo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node_id: did,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pubkey: key,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region: Region::Asia,  // 或从环境变量自动检测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2" w:id="52"/>
      <w:r>
        <w:rPr>
          <w:rFonts w:eastAsia="等线" w:ascii="Arial" w:cs="Arial" w:hAnsi="Arial"/>
          <w:b w:val="true"/>
          <w:sz w:val="32"/>
        </w:rPr>
        <w:t>8.6 Lint 输出</w:t>
      </w:r>
      <w:bookmarkEnd w:id="5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warning: CBP节点未指定地理位置，违反宪法 CBP_GEO_DIVERSITY 建议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--&gt; crates/cbpp/src/registry.rs:120:5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120 |     CBPInfo { node_id, pubkey, 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|     ^^^^^^^^^^^^^^^^^^^^^^^^^^^^^^^^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= help: 请添加 region: Region::X 字段，X为 ASIA/NA/EU/OTHER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82047">
    <w:lvl>
      <w:numFmt w:val="bullet"/>
      <w:suff w:val="tab"/>
      <w:lvlText w:val="•"/>
      <w:rPr>
        <w:color w:val="3370ff"/>
      </w:rPr>
    </w:lvl>
  </w:abstractNum>
  <w:abstractNum w:abstractNumId="382048">
    <w:lvl>
      <w:numFmt w:val="bullet"/>
      <w:suff w:val="tab"/>
      <w:lvlText w:val="•"/>
      <w:rPr>
        <w:color w:val="3370ff"/>
      </w:rPr>
    </w:lvl>
  </w:abstractNum>
  <w:abstractNum w:abstractNumId="382049">
    <w:lvl>
      <w:numFmt w:val="bullet"/>
      <w:suff w:val="tab"/>
      <w:lvlText w:val="•"/>
      <w:rPr>
        <w:color w:val="3370ff"/>
      </w:rPr>
    </w:lvl>
  </w:abstractNum>
  <w:abstractNum w:abstractNumId="382050">
    <w:lvl>
      <w:numFmt w:val="bullet"/>
      <w:suff w:val="tab"/>
      <w:lvlText w:val="•"/>
      <w:rPr>
        <w:color w:val="3370ff"/>
      </w:rPr>
    </w:lvl>
  </w:abstractNum>
  <w:abstractNum w:abstractNumId="382051">
    <w:lvl>
      <w:numFmt w:val="bullet"/>
      <w:suff w:val="tab"/>
      <w:lvlText w:val="•"/>
      <w:rPr>
        <w:color w:val="3370ff"/>
      </w:rPr>
    </w:lvl>
  </w:abstractNum>
  <w:abstractNum w:abstractNumId="382052">
    <w:lvl>
      <w:numFmt w:val="bullet"/>
      <w:suff w:val="tab"/>
      <w:lvlText w:val="•"/>
      <w:rPr>
        <w:color w:val="3370ff"/>
      </w:rPr>
    </w:lvl>
  </w:abstractNum>
  <w:abstractNum w:abstractNumId="382053">
    <w:lvl>
      <w:numFmt w:val="bullet"/>
      <w:suff w:val="tab"/>
      <w:lvlText w:val="•"/>
      <w:rPr>
        <w:color w:val="3370ff"/>
      </w:rPr>
    </w:lvl>
  </w:abstractNum>
  <w:abstractNum w:abstractNumId="382054">
    <w:lvl>
      <w:numFmt w:val="bullet"/>
      <w:suff w:val="tab"/>
      <w:lvlText w:val="•"/>
      <w:rPr>
        <w:color w:val="3370ff"/>
      </w:rPr>
    </w:lvl>
  </w:abstractNum>
  <w:abstractNum w:abstractNumId="382055">
    <w:lvl>
      <w:numFmt w:val="bullet"/>
      <w:suff w:val="tab"/>
      <w:lvlText w:val="•"/>
      <w:rPr>
        <w:color w:val="3370ff"/>
      </w:rPr>
    </w:lvl>
  </w:abstractNum>
  <w:abstractNum w:abstractNumId="382056">
    <w:lvl>
      <w:numFmt w:val="bullet"/>
      <w:suff w:val="tab"/>
      <w:lvlText w:val="•"/>
      <w:rPr>
        <w:color w:val="3370ff"/>
      </w:rPr>
    </w:lvl>
  </w:abstractNum>
  <w:abstractNum w:abstractNumId="382057">
    <w:lvl>
      <w:numFmt w:val="bullet"/>
      <w:suff w:val="tab"/>
      <w:lvlText w:val="•"/>
      <w:rPr>
        <w:color w:val="3370ff"/>
      </w:rPr>
    </w:lvl>
  </w:abstractNum>
  <w:abstractNum w:abstractNumId="382058">
    <w:lvl>
      <w:numFmt w:val="bullet"/>
      <w:suff w:val="tab"/>
      <w:lvlText w:val="•"/>
      <w:rPr>
        <w:color w:val="3370ff"/>
      </w:rPr>
    </w:lvl>
  </w:abstractNum>
  <w:abstractNum w:abstractNumId="382059">
    <w:lvl>
      <w:numFmt w:val="bullet"/>
      <w:suff w:val="tab"/>
      <w:lvlText w:val="•"/>
      <w:rPr>
        <w:color w:val="3370ff"/>
      </w:rPr>
    </w:lvl>
  </w:abstractNum>
  <w:abstractNum w:abstractNumId="382060">
    <w:lvl>
      <w:numFmt w:val="bullet"/>
      <w:suff w:val="tab"/>
      <w:lvlText w:val="•"/>
      <w:rPr>
        <w:color w:val="3370ff"/>
      </w:rPr>
    </w:lvl>
  </w:abstractNum>
  <w:abstractNum w:abstractNumId="382061">
    <w:lvl>
      <w:numFmt w:val="bullet"/>
      <w:suff w:val="tab"/>
      <w:lvlText w:val="•"/>
      <w:rPr>
        <w:color w:val="3370ff"/>
      </w:rPr>
    </w:lvl>
  </w:abstractNum>
  <w:abstractNum w:abstractNumId="382062">
    <w:lvl>
      <w:numFmt w:val="bullet"/>
      <w:suff w:val="tab"/>
      <w:lvlText w:val="•"/>
      <w:rPr>
        <w:color w:val="3370ff"/>
      </w:rPr>
    </w:lvl>
  </w:abstractNum>
  <w:abstractNum w:abstractNumId="382063">
    <w:lvl>
      <w:numFmt w:val="bullet"/>
      <w:suff w:val="tab"/>
      <w:lvlText w:val="•"/>
      <w:rPr>
        <w:color w:val="3370ff"/>
      </w:rPr>
    </w:lvl>
  </w:abstractNum>
  <w:num w:numId="1">
    <w:abstractNumId w:val="382047"/>
  </w:num>
  <w:num w:numId="2">
    <w:abstractNumId w:val="382048"/>
  </w:num>
  <w:num w:numId="3">
    <w:abstractNumId w:val="382049"/>
  </w:num>
  <w:num w:numId="4">
    <w:abstractNumId w:val="382050"/>
  </w:num>
  <w:num w:numId="5">
    <w:abstractNumId w:val="382051"/>
  </w:num>
  <w:num w:numId="6">
    <w:abstractNumId w:val="382052"/>
  </w:num>
  <w:num w:numId="7">
    <w:abstractNumId w:val="382053"/>
  </w:num>
  <w:num w:numId="8">
    <w:abstractNumId w:val="382054"/>
  </w:num>
  <w:num w:numId="9">
    <w:abstractNumId w:val="382055"/>
  </w:num>
  <w:num w:numId="10">
    <w:abstractNumId w:val="382056"/>
  </w:num>
  <w:num w:numId="11">
    <w:abstractNumId w:val="382057"/>
  </w:num>
  <w:num w:numId="12">
    <w:abstractNumId w:val="382058"/>
  </w:num>
  <w:num w:numId="13">
    <w:abstractNumId w:val="382059"/>
  </w:num>
  <w:num w:numId="14">
    <w:abstractNumId w:val="382060"/>
  </w:num>
  <w:num w:numId="15">
    <w:abstractNumId w:val="382061"/>
  </w:num>
  <w:num w:numId="16">
    <w:abstractNumId w:val="382062"/>
  </w:num>
  <w:num w:numId="17">
    <w:abstractNumId w:val="38206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2026-02-13T00:23:47Z</dcterms:created>
  <dc:creator>Apache POI</dc:creator>
</cp:coreProperties>
</file>