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宪政结构化网络协议（CSNP）V2.0 附录集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——全域身份、资产感知、碎片聚合、跨链审计的工程化规范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 · 网络协议工作组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：CSNP V2.0 技术白皮书、CBPP 附录集、GNACS Pro V2.0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附录A：全域身份目录服务（GIDS）数据规范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A.1 UDM模块标识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</w:t>
            </w:r>
            <w:r>
              <w:rPr>
                <w:rFonts w:eastAsia="等线" w:ascii="Arial" w:cs="Arial" w:hAnsi="Arial"/>
                <w:sz w:val="22"/>
              </w:rPr>
              <w:t>ID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`0x00040001`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模块名称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`GlobalIdentityDirectory`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当前版本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`2`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兼容版本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`[1,2]`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激活区块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待治理投票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A.2 核心数据结构（Protocol Buffers）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syntax = "proto3";</w:t>
              <w:br/>
              <w:br/>
              <w:t>package nac.csnv2.gids.v2;</w:t>
              <w:br/>
              <w:br/>
              <w:t>// 多链DID标识</w:t>
              <w:br/>
              <w:t>message DID {</w:t>
              <w:br/>
              <w:t xml:space="preserve">    string root_did = 1;           // did:nac:root:&lt;entity_id&gt;</w:t>
              <w:br/>
              <w:t xml:space="preserve">    repeated ChainAddress chain_addresses = 2; // 在各链上的具体地址</w:t>
              <w:br/>
              <w:t xml:space="preserve">    uint64 registration_time = 3;</w:t>
              <w:br/>
              <w:t xml:space="preserve">    NodeRole role = 4;</w:t>
              <w:br/>
              <w:t xml:space="preserve">    ReputationScore reputation = 5;</w:t>
              <w:br/>
              <w:t xml:space="preserve">    DIDStatus status = 6;</w:t>
              <w:br/>
              <w:t>}</w:t>
              <w:br/>
              <w:br/>
              <w:t>// 链地址映射</w:t>
              <w:br/>
              <w:t>message ChainAddress {</w:t>
              <w:br/>
              <w:t xml:space="preserve">    string chain_id = 1;           // 链标识（如 "main", "app1", "side2"）</w:t>
              <w:br/>
              <w:t xml:space="preserve">    bytes public_key = 2;         // 在该链上使用的公钥（Ed25519/BLS）</w:t>
              <w:br/>
              <w:t xml:space="preserve">    string endpoint = 3;          // 网络地址（IP:Port 或域名）</w:t>
              <w:br/>
              <w:t xml:space="preserve">    uint64 last_seen = 4;        // 最后一次活跃时间戳</w:t>
              <w:br/>
              <w:t>}</w:t>
              <w:br/>
              <w:br/>
              <w:t>// 节点角色</w:t>
              <w:br/>
              <w:t>enum NodeRole {</w:t>
              <w:br/>
              <w:t xml:space="preserve">    UNKNOWN = 0;</w:t>
              <w:br/>
              <w:t xml:space="preserve">    CBP = 1;                     // 宪法区块生产者</w:t>
              <w:br/>
              <w:t xml:space="preserve">    FULL_NODE = 2;              // 全验证节点</w:t>
              <w:br/>
              <w:t xml:space="preserve">    LIGHT_NODE = 3;            // 轻节点</w:t>
              <w:br/>
              <w:t xml:space="preserve">    CROSS_CHAIN_RELAY = 4;     // 跨链中继节点（CCRN）</w:t>
              <w:br/>
              <w:t xml:space="preserve">    FRAGMENT_AGGREGATOR = 5;   // 碎片化交易聚合节点</w:t>
              <w:br/>
              <w:t xml:space="preserve">    ORACLE = 6;                // 预言机节点</w:t>
              <w:br/>
              <w:t xml:space="preserve">    REGULATOR = 7;            // 监管节点</w:t>
              <w:br/>
              <w:t>}</w:t>
              <w:br/>
              <w:br/>
              <w:t>// 全域信誉评分</w:t>
              <w:br/>
              <w:t>message ReputationScore {</w:t>
              <w:br/>
              <w:t xml:space="preserve">    uint32 global_score = 1;        // 0-1000，全域综合信誉</w:t>
              <w:br/>
              <w:t xml:space="preserve">    map&lt;string, uint32&gt; per_chain = 2; // 各链独立信誉</w:t>
              <w:br/>
              <w:t xml:space="preserve">    uint64 last_updated = 3;</w:t>
              <w:br/>
              <w:t xml:space="preserve">    uint32 reliability = 4;        // 可靠性（转发率）</w:t>
              <w:br/>
              <w:t xml:space="preserve">    uint32 latency_score = 5;     // 延迟表现</w:t>
              <w:br/>
              <w:t>}</w:t>
              <w:br/>
              <w:br/>
              <w:t>enum DIDStatus {</w:t>
              <w:br/>
              <w:t xml:space="preserve">    ACTIVE = 0;</w:t>
              <w:br/>
              <w:t xml:space="preserve">    SUSPENDED = 1;               // 临时冻结（可恢复）</w:t>
              <w:br/>
              <w:t xml:space="preserve">    BANNED = 2;                 // 永久封禁</w:t>
              <w:br/>
              <w:t xml:space="preserve">    PENDING_VERIFICATION = 3;   // 待验证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A.3 信誉聚合算法（Rust伪码）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rust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fn calculate_global_reputation(per_chain_scores: HashMap&lt;String, u32&gt;) -&gt; u32 {</w:t>
              <w:br/>
              <w:t xml:space="preserve">    // 根链权重50%，其他链平均权重50%</w:t>
              <w:br/>
              <w:t xml:space="preserve">    let root_score = per_chain_scores.get("root").unwrap_or(&amp;0);</w:t>
              <w:br/>
              <w:t xml:space="preserve">    let other_sum: u32 = per_chain_scores.iter()</w:t>
              <w:br/>
              <w:t xml:space="preserve">        .filter(|(k, _)| *k != "root")</w:t>
              <w:br/>
              <w:t xml:space="preserve">        .map(|(_, v)| v)</w:t>
              <w:br/>
              <w:t xml:space="preserve">        .sum();</w:t>
              <w:br/>
              <w:t xml:space="preserve">    let other_avg = if per_chain_scores.len() &gt; 1 {</w:t>
              <w:br/>
              <w:t xml:space="preserve">        other_sum / (per_chain_scores.len() as u32 - 1)</w:t>
              <w:br/>
              <w:t xml:space="preserve">    } else { 0 };</w:t>
              <w:br/>
              <w:t xml:space="preserve">    </w:t>
              <w:br/>
              <w:t xml:space="preserve">    (root_score / 2) + (other_avg / 2)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A.4 GIDS查询与更新接口（gRPC）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service GIDS {</w:t>
              <w:br/>
              <w:t xml:space="preserve">    // 注册DID（首次加入）</w:t>
              <w:br/>
              <w:t xml:space="preserve">    rpc RegisterDID(RegisterRequest) returns (RegisterResponse);</w:t>
              <w:br/>
              <w:t xml:space="preserve">    </w:t>
              <w:br/>
              <w:t xml:space="preserve">    // 更新链地址（节点迁移或新增链）</w:t>
              <w:br/>
              <w:t xml:space="preserve">    rpc UpdateAddress(UpdateAddressRequest) returns (UpdateAddressResponse);</w:t>
              <w:br/>
              <w:t xml:space="preserve">    </w:t>
              <w:br/>
              <w:t xml:space="preserve">    // 查询DID信息</w:t>
              <w:br/>
              <w:t xml:space="preserve">    rpc ResolveDID(ResolveRequest) returns (DID);</w:t>
              <w:br/>
              <w:t xml:space="preserve">    </w:t>
              <w:br/>
              <w:t xml:space="preserve">    // 批量解析（用于节点启动恢复）</w:t>
              <w:br/>
              <w:t xml:space="preserve">    rpc BatchResolve(stream ResolveRequest) returns (stream DID);</w:t>
              <w:br/>
              <w:t xml:space="preserve">    </w:t>
              <w:br/>
              <w:t xml:space="preserve">    // 上报信誉数据（由UCA调用）</w:t>
              <w:br/>
              <w:t xml:space="preserve">    rpc ReportReputation(ReputationReport) returns (ReportAck);</w:t>
              <w:br/>
              <w:t>}</w:t>
              <w:br/>
              <w:br/>
              <w:t>message RegisterRequest {</w:t>
              <w:br/>
              <w:t xml:space="preserve">    DID did = 1;</w:t>
              <w:br/>
              <w:t xml:space="preserve">    uint64 deposit_amount = 2;    // 注册保证金（XIC）</w:t>
              <w:br/>
              <w:t xml:space="preserve">    bytes signature = 3;          // 签名证明私钥持有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附录B：多链自适应连接管理器（MA-RCM）策略与算法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B.1 连接策略矩阵（宪法级）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1380"/>
        <w:gridCol w:w="1380"/>
        <w:gridCol w:w="1380"/>
        <w:gridCol w:w="1380"/>
        <w:gridCol w:w="138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节点角色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必须连接的目标角色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最小连接数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推荐连接数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优先级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连接类型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同链CBP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低延迟专用通道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跨链中继节点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持久化连接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全节点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TCP/WebSocket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跨链中继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其他链中继节点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点对点加密通道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跨链中继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所服务链的CBP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高带宽连接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聚合节点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同资产池交易节点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低延迟UDP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全节点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同链CBP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随机采样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B.2 动态连接优化算法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MARCM:</w:t>
              <w:br/>
              <w:t xml:space="preserve">    def __init__(self, node_role, interested_chains):</w:t>
              <w:br/>
              <w:t xml:space="preserve">        self.role = node_role</w:t>
              <w:br/>
              <w:t xml:space="preserve">        self.interested = interested_chains</w:t>
              <w:br/>
              <w:t xml:space="preserve">        self.connections = {}  # DID -&gt; Connection</w:t>
              <w:br/>
              <w:t xml:space="preserve">        self.connection_score = {}  # 连接质量评分</w:t>
              <w:br/>
              <w:t xml:space="preserve">        </w:t>
              <w:br/>
              <w:t xml:space="preserve">    def evaluate_connection_candidate(self, candidate_did):</w:t>
              <w:br/>
              <w:t xml:space="preserve">        # 基于GIDS信息计算候选节点的连接价值</w:t>
              <w:br/>
              <w:t xml:space="preserve">        did_info = gids.resolve(candidate_did)</w:t>
              <w:br/>
              <w:t xml:space="preserve">        score = 0</w:t>
              <w:br/>
              <w:t xml:space="preserve">        </w:t>
              <w:br/>
              <w:t xml:space="preserve">        # 1. 角色匹配度（宪法策略）</w:t>
              <w:br/>
              <w:t xml:space="preserve">        score += self._role_match_score(did_info.role) * 40</w:t>
              <w:br/>
              <w:t xml:space="preserve">        </w:t>
              <w:br/>
              <w:t xml:space="preserve">        # 2. 全域信誉分</w:t>
              <w:br/>
              <w:t xml:space="preserve">        score += did_info.reputation.global_score * 0.3</w:t>
              <w:br/>
              <w:t xml:space="preserve">        </w:t>
              <w:br/>
              <w:t xml:space="preserve">        # 3. 链兴趣匹配（是否在感兴趣的链上活跃）</w:t>
              <w:br/>
              <w:t xml:space="preserve">        chain_overlap = len(set(self.interested) &amp; </w:t>
              <w:br/>
              <w:t xml:space="preserve">                           {addr.chain_id for addr in did_info.chain_addresses})</w:t>
              <w:br/>
              <w:t xml:space="preserve">        score += chain_overlap * 15</w:t>
              <w:br/>
              <w:t xml:space="preserve">        </w:t>
              <w:br/>
              <w:t xml:space="preserve">        # 4. 地理延迟估计（基于IP地理位置）</w:t>
              <w:br/>
              <w:t xml:space="preserve">        latency = self._estimate_latency(did_info.endpoint)</w:t>
              <w:br/>
              <w:t xml:space="preserve">        score += max(0, 50 - latency) * 0.2</w:t>
              <w:br/>
              <w:t xml:space="preserve">        </w:t>
              <w:br/>
              <w:t xml:space="preserve">        return score</w:t>
              <w:br/>
              <w:t xml:space="preserve">    </w:t>
              <w:br/>
              <w:t xml:space="preserve">    def maintain_connections(self):</w:t>
              <w:br/>
              <w:t xml:space="preserve">        # 定期执行：移除低质量连接，补足最小连接数</w:t>
              <w:br/>
              <w:t xml:space="preserve">        current_peers = self.connections.keys()</w:t>
              <w:br/>
              <w:t xml:space="preserve">        target_counts = CONSTITUTION_MIN_PEERS[self.role]</w:t>
              <w:br/>
              <w:t xml:space="preserve">        </w:t>
              <w:br/>
              <w:t xml:space="preserve">        for target_role, min_count in target_counts.items():</w:t>
              <w:br/>
              <w:t xml:space="preserve">            current = [p for p in current_peers </w:t>
              <w:br/>
              <w:t xml:space="preserve">                      if self.connections[p].remote_role == target_role]</w:t>
              <w:br/>
              <w:t xml:space="preserve">            if len(current) &lt; min_count:</w:t>
              <w:br/>
              <w:t xml:space="preserve">                # 发现并连接新节点</w:t>
              <w:br/>
              <w:t xml:space="preserve">                candidates = self.discover_candidates(target_role)</w:t>
              <w:br/>
              <w:t xml:space="preserve">                candidates.sort(key=self.evaluate_connection_candidate, reverse=True)</w:t>
              <w:br/>
              <w:t xml:space="preserve">                for cand in candidates[:min_count - len(current)]:</w:t>
              <w:br/>
              <w:t xml:space="preserve">                    self</w:t>
            </w:r>
            <w:r>
              <w:rPr>
                <w:rFonts w:eastAsia="Consolas" w:ascii="Consolas" w:cs="Consolas" w:hAnsi="Consolas"/>
                <w:sz w:val="22"/>
              </w:rPr>
              <w:t>.connect(cand)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B.3 跨链连接预热协议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当检测到节点A（链X）与节点B（链Y）之间存在</w:t>
      </w:r>
      <w:r>
        <w:rPr>
          <w:rFonts w:eastAsia="等线" w:ascii="Arial" w:cs="Arial" w:hAnsi="Arial"/>
          <w:b w:val="true"/>
          <w:sz w:val="22"/>
        </w:rPr>
        <w:t>高频跨链通信</w:t>
      </w:r>
      <w:r>
        <w:rPr>
          <w:rFonts w:eastAsia="等线" w:ascii="Arial" w:cs="Arial" w:hAnsi="Arial"/>
          <w:sz w:val="22"/>
        </w:rPr>
        <w:t>时，MA-RCM可自动提议双方建立</w:t>
      </w:r>
      <w:r>
        <w:rPr>
          <w:rFonts w:eastAsia="等线" w:ascii="Arial" w:cs="Arial" w:hAnsi="Arial"/>
          <w:b w:val="true"/>
          <w:sz w:val="22"/>
        </w:rPr>
        <w:t>直连通道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DirectLinkProposal {</w:t>
              <w:br/>
              <w:t xml:space="preserve">    bytes32 proposal_id = 1;</w:t>
              <w:br/>
              <w:t xml:space="preserve">    DID initiator = 2;</w:t>
              <w:br/>
              <w:t xml:space="preserve">    DID target = 3;</w:t>
              <w:br/>
              <w:t xml:space="preserve">    uint64 expected_frequency = 4;  // 预估通信频率</w:t>
              <w:br/>
              <w:t xml:space="preserve">    uint64 suggested_duration = 5;  // 建议保持时间（秒）</w:t>
              <w:br/>
              <w:t xml:space="preserve">    bytes signature = 6;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双方接受后，建立专用WebSocket/QUIC连接，并上报GIDS更新端点信息。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附录C：资产感知传播引擎（AA-PE）策略映射表与执行逻辑</w:t>
      </w:r>
      <w:bookmarkEnd w:id="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C.1 GNACS-传播策略映射表（宪法附录）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GNACS字段组合条件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传播动作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目标节点集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超时要求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带宽优先级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`GG=01` AND `CC≤02`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即时全网</w:t>
            </w:r>
            <w:r>
              <w:rPr>
                <w:rFonts w:eastAsia="等线" w:ascii="Arial" w:cs="Arial" w:hAnsi="Arial"/>
                <w:sz w:val="22"/>
              </w:rPr>
              <w:t>广播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全网CBP + 全节点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200ms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最高（7）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`GG=01` AND `CC≥03`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优先广播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同区域CBP + 主要全节点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500ms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高（6）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`GG=02`（公开市场）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标准广播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全网全节点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中（4）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`GG=0</w:t>
            </w:r>
            <w:r>
              <w:rPr>
                <w:rFonts w:eastAsia="等线" w:ascii="Arial" w:cs="Arial" w:hAnsi="Arial"/>
                <w:sz w:val="22"/>
              </w:rPr>
              <w:t>3`（OTC平台）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定向推送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已订阅该资产类别的做市商/OTC节点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中低（3）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`GG=04`（非流动）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按需请求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仅存储和转发节点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低（2）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`GG=05`（无市场）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</w:t>
            </w:r>
            <w:r>
              <w:rPr>
                <w:rFonts w:eastAsia="等线" w:ascii="Arial" w:cs="Arial" w:hAnsi="Arial"/>
                <w:sz w:val="22"/>
              </w:rPr>
              <w:t>广播给监管节点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监管节点白名单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最低（1）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`OO</w:t>
            </w:r>
            <w:r>
              <w:rPr>
                <w:rFonts w:eastAsia="等线" w:ascii="Arial" w:cs="Arial" w:hAnsi="Arial"/>
                <w:sz w:val="22"/>
              </w:rPr>
              <w:t>≠00`（状态异常）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警报广播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监管节点+预言机+关联CBP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最高（8）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`HH=</w:t>
            </w:r>
            <w:r>
              <w:rPr>
                <w:rFonts w:eastAsia="等线" w:ascii="Arial" w:cs="Arial" w:hAnsi="Arial"/>
                <w:sz w:val="22"/>
              </w:rPr>
              <w:t>02`（NFT）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兴趣网络传播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NFT市场节点+持有者钱包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中（4）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`HH=03`（多代币）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兴趣网络传播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相关DApp节点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中（4）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`LL=04` OR `LL=05`（衍生品）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定向推送+订阅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专业交易</w:t>
            </w:r>
            <w:r>
              <w:rPr>
                <w:rFonts w:eastAsia="等线" w:ascii="Arial" w:cs="Arial" w:hAnsi="Arial"/>
                <w:sz w:val="22"/>
              </w:rPr>
              <w:t>对手方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中低（3）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跨链标记（目标链ID非空）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跨链中继通道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源链中继节点 →</w:t>
            </w:r>
            <w:r>
              <w:rPr>
                <w:rFonts w:eastAsia="等线" w:ascii="Arial" w:cs="Arial" w:hAnsi="Arial"/>
                <w:sz w:val="22"/>
              </w:rPr>
              <w:t xml:space="preserve"> 目标链中继节点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高（6）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C.2 GNACS编码快速解析与缓存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rust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NVM 2.1 新增指令：GNACS_GET_FIELD (操作码 0xA2-0xA5)</w:t>
              <w:br/>
              <w:t>// 通过代币合约地址快速获取GNACS字段值（缓存优化）</w:t>
              <w:br/>
              <w:br/>
              <w:t>struct GNACSCacheEntry {</w:t>
              <w:br/>
              <w:t xml:space="preserve">    asset_address: [u8; 32],</w:t>
              <w:br/>
              <w:t xml:space="preserve">    gnacs_hash: [u8; 32],        // GNACS完整编码哈希</w:t>
              <w:br/>
              <w:t xml:space="preserve">    liquidity: u8,               // GG字段缓存</w:t>
              <w:br/>
              <w:t xml:space="preserve">    compliance: u8,             // CC字段缓存</w:t>
              <w:br/>
              <w:t xml:space="preserve">    status: u8,                // OO字段缓存</w:t>
              <w:br/>
              <w:t xml:space="preserve">    standard: u8,             // HH字段缓存</w:t>
              <w:br/>
              <w:t xml:space="preserve">    expiry: u64,             // 过期区块高度</w:t>
              <w:br/>
              <w:t>}</w:t>
              <w:br/>
              <w:br/>
              <w:t>// AA-PE节点维护LRU缓存，容量</w:t>
            </w:r>
            <w:r>
              <w:rPr>
                <w:rFonts w:eastAsia="Consolas" w:ascii="Consolas" w:cs="Consolas" w:hAnsi="Consolas"/>
                <w:sz w:val="22"/>
              </w:rPr>
              <w:t>10万条，TTL 14400区块（约12小时）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C.3 传播决策执行流程（节点侧）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def on_receive_transaction(tx):</w:t>
              <w:br/>
              <w:t xml:space="preserve">    # 1. 获取GNACS编码（从合约或缓存）</w:t>
              <w:br/>
              <w:t xml:space="preserve">    gnacs = get_gnacs_from_asset(tx.asset_address)</w:t>
              <w:br/>
              <w:t xml:space="preserve">    if not gnacs:</w:t>
              <w:br/>
              <w:t xml:space="preserve">        return  # 无法识别资产，丢弃（不应发生）</w:t>
              <w:br/>
              <w:t xml:space="preserve">    </w:t>
              <w:br/>
              <w:t xml:space="preserve">    # 2. 匹配策略</w:t>
              <w:br/>
              <w:t xml:space="preserve">    strategy = match_strategy(gnacs)</w:t>
              <w:br/>
              <w:t xml:space="preserve">    </w:t>
              <w:br/>
              <w:t xml:space="preserve">    # 3. 获取目标节点列表</w:t>
              <w:br/>
              <w:t xml:space="preserve">    targets = select_targets(strategy.target_set, tx, gnacs)</w:t>
              <w:br/>
              <w:t xml:space="preserve">    </w:t>
              <w:br/>
              <w:t xml:space="preserve">    # 4. 按优先级队列发送</w:t>
              <w:br/>
              <w:t xml:space="preserve">    priority = strategy.priority</w:t>
              <w:br/>
              <w:t xml:space="preserve">    send_to_targets(targets, tx, priority)</w:t>
              <w:br/>
              <w:t xml:space="preserve">    </w:t>
              <w:br/>
              <w:t xml:space="preserve">    # 5. 若策略要求存储并转发，存入本地持久化队列</w:t>
              <w:br/>
              <w:t xml:space="preserve">    if strategy.store_and_forward:</w:t>
              <w:br/>
              <w:t xml:space="preserve">        persistent_queue.push(t</w:t>
            </w:r>
            <w:r>
              <w:rPr>
                <w:rFonts w:eastAsia="Consolas" w:ascii="Consolas" w:cs="Consolas" w:hAnsi="Consolas"/>
                <w:sz w:val="22"/>
              </w:rPr>
              <w:t>x, strategy.expiry)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附录D：碎片化交易聚合网络（FTAN）聚合协议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D.1 聚合节点角色与注册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聚合节点需在GIDS注册角色`FRAGMENT_AGGREGATOR`，并声明其专注的</w:t>
      </w:r>
      <w:r>
        <w:rPr>
          <w:rFonts w:eastAsia="等线" w:ascii="Arial" w:cs="Arial" w:hAnsi="Arial"/>
          <w:b w:val="true"/>
          <w:sz w:val="22"/>
        </w:rPr>
        <w:t>碎片化资产池地址列表</w:t>
      </w:r>
      <w:r>
        <w:rPr>
          <w:rFonts w:eastAsia="等线" w:ascii="Arial" w:cs="Arial" w:hAnsi="Arial"/>
          <w:sz w:val="22"/>
        </w:rPr>
        <w:t>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AggregatorDeclaration {</w:t>
              <w:br/>
              <w:t xml:space="preserve">    DID aggregator_did = 1;</w:t>
              <w:br/>
              <w:t xml:space="preserve">    repeated bytes asset_pool_addresses = 2;  // 碎片代币合约地址</w:t>
              <w:br/>
              <w:t xml:space="preserve">    uint64 aggregation_window_ms = 3;        // 聚合窗口（默认50ms）</w:t>
              <w:br/>
              <w:t xml:space="preserve">    uint32 max_batch_size = 4;              // 最大批量交易数（默认100）</w:t>
              <w:br/>
              <w:t xml:space="preserve">    uint64 bond_amount = 5;                // 质押保证金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D.2 聚合交易包格式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AggregatedTransactionBatch {</w:t>
              <w:br/>
              <w:t xml:space="preserve">    bytes32 pool_id = 1;                   // 资产池标识（GNACS哈希）</w:t>
              <w:br/>
              <w:t xml:space="preserve">    repeated bytes transactions = 2;        // 原始交易数据列表</w:t>
              <w:br/>
              <w:t xml:space="preserve">    uint64 from_time = 3;                 // 窗口起始时间</w:t>
              <w:br/>
              <w:t xml:space="preserve">    uint64 to_time = 4;                  // 窗口结束时间</w:t>
              <w:br/>
              <w:t xml:space="preserve">    </w:t>
              <w:br/>
              <w:t xml:space="preserve">    // BLS聚合签名（所有交易发送者的签名聚合）</w:t>
              <w:br/>
              <w:t xml:space="preserve">    bytes aggregated_signature = 5;</w:t>
              <w:br/>
              <w:t xml:space="preserve">    bytes signers_bitmap = 6;            // 参与签名的地址位图</w:t>
              <w:br/>
              <w:t xml:space="preserve">    </w:t>
              <w:br/>
              <w:t xml:space="preserve">    // 聚合节点签名</w:t>
              <w:br/>
              <w:t xml:space="preserve">    bytes aggregator_signature = 7;</w:t>
              <w:br/>
              <w:t xml:space="preserve">    DID aggregator = 8;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D.3 聚合签名验证（NVM指令）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 2.1新增指令 `BLS_VERIFY_AGGREGATED_MULTI`（操作码0xF9），专门用于验证</w:t>
      </w:r>
      <w:r>
        <w:rPr>
          <w:rFonts w:eastAsia="等线" w:ascii="Arial" w:cs="Arial" w:hAnsi="Arial"/>
          <w:b w:val="true"/>
          <w:sz w:val="22"/>
        </w:rPr>
        <w:t>多消息多公钥</w:t>
      </w:r>
      <w:r>
        <w:rPr>
          <w:rFonts w:eastAsia="等线" w:ascii="Arial" w:cs="Arial" w:hAnsi="Arial"/>
          <w:sz w:val="22"/>
        </w:rPr>
        <w:t>的聚合签名，Gas成本：`5,000 + 20×交易数量`。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D.4 聚合节点激励分配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每笔聚合交易的手续费分配：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70% 归聚合节点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20% 归出块节点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10% 销毁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聚合节点提交的聚合包若包含无效交易，将触发</w:t>
      </w:r>
      <w:r>
        <w:rPr>
          <w:rFonts w:eastAsia="等线" w:ascii="Arial" w:cs="Arial" w:hAnsi="Arial"/>
          <w:b w:val="true"/>
          <w:sz w:val="22"/>
        </w:rPr>
        <w:t>质押罚没</w:t>
      </w:r>
      <w:r>
        <w:rPr>
          <w:rFonts w:eastAsia="等线" w:ascii="Arial" w:cs="Arial" w:hAnsi="Arial"/>
          <w:sz w:val="22"/>
        </w:rPr>
        <w:t>：每笔无效交易扣除`bond / 1000`，累计三次永久取消聚合资格。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附录E：统一跨链审计器（UCA）行为记录与证据格式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E.1 可验证行为日志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NetworkBehaviorReceipt {</w:t>
              <w:br/>
              <w:t xml:space="preserve">    bytes32 log_id = 1;                // SHA3-384(行为内容)</w:t>
              <w:br/>
              <w:t xml:space="preserve">    DID node_id = 2;                 // 执行节点</w:t>
              <w:br/>
              <w:t xml:space="preserve">    BehaviorType behavior = 3;       // 行为类型</w:t>
              <w:br/>
              <w:t xml:space="preserve">    bytes32 related_tx_hash = 4;     // 关联交易哈希</w:t>
              <w:br/>
              <w:t xml:space="preserve">    bytes32 related_block_hash = 5;  // 关联区块哈希</w:t>
              <w:br/>
              <w:t xml:space="preserve">    uint64 timestamp = 6;</w:t>
              <w:br/>
              <w:t xml:space="preserve">    </w:t>
              <w:br/>
              <w:t xml:space="preserve">    // 跨链上下文</w:t>
              <w:br/>
              <w:t xml:space="preserve">    string source_chain = 7;</w:t>
              <w:br/>
              <w:t xml:space="preserve">    string target_chain = 8;</w:t>
              <w:br/>
              <w:t xml:space="preserve">    </w:t>
              <w:br/>
              <w:t xml:space="preserve">    // 下一跳信息（转发行为）</w:t>
              <w:br/>
              <w:t xml:space="preserve">    DID next_hop = 9;</w:t>
              <w:br/>
              <w:t xml:space="preserve">    </w:t>
              <w:br/>
              <w:t xml:space="preserve">    // 节点签名（证明其确实执行了该行为）</w:t>
              <w:br/>
              <w:t xml:space="preserve">    bytes signature = 10;</w:t>
              <w:br/>
              <w:t>}</w:t>
              <w:br/>
              <w:br/>
              <w:t>enum BehaviorType {</w:t>
              <w:br/>
              <w:t xml:space="preserve">    FORWARD_TRANSACTION = 0;</w:t>
              <w:br/>
              <w:t xml:space="preserve">    FORWARD_BLOCK = 1;</w:t>
              <w:br/>
              <w:t xml:space="preserve">    CROSS_CHAIN_RELAY = 2;</w:t>
              <w:br/>
              <w:t xml:space="preserve">    AGGREGATE_BATCH = 3;</w:t>
              <w:br/>
              <w:t xml:space="preserve">    DROP_TRANSACTION = 4;           // 记录丢弃行为（仅用于投诉）</w:t>
              <w:br/>
              <w:t xml:space="preserve">    REJECT_BLOCK = 5;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E.2 违规证据包结构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ViolationEvidence {</w:t>
              <w:br/>
              <w:t xml:space="preserve">    DID accuser = 1;                // 举报者</w:t>
              <w:br/>
              <w:t xml:space="preserve">    DID defendant = 2;            // 被举报节点</w:t>
              <w:br/>
              <w:t xml:space="preserve">    ViolationType violation = 3;</w:t>
              <w:br/>
              <w:t xml:space="preserve">    </w:t>
              <w:br/>
              <w:t xml:space="preserve">    repeated NetworkBehaviorReceipt proofs = 4;  // 证据链</w:t>
              <w:br/>
              <w:t xml:space="preserve">    bytes32 dispute_id = 5;       // 链上争议ID</w:t>
              <w:br/>
              <w:t xml:space="preserve">    uint64 report_time = 6;</w:t>
              <w:br/>
              <w:t xml:space="preserve">    </w:t>
              <w:br/>
              <w:t xml:space="preserve">    // 举报者签名</w:t>
              <w:br/>
              <w:t xml:space="preserve">    bytes signature = 7;</w:t>
              <w:br/>
              <w:t>}</w:t>
              <w:br/>
              <w:br/>
              <w:t>enum ViolationType {</w:t>
              <w:br/>
              <w:t xml:space="preserve">    CENSORSHIP = 0;              // 恶意审查（持续丢弃某类合规交易）</w:t>
              <w:br/>
              <w:t xml:space="preserve">    FORGED_AGGREGATION = 1;      // 伪造聚合交易包</w:t>
              <w:br/>
              <w:t xml:space="preserve">    CROSS_CHAIN_DOUBLE_SPEND = 2; // 跨链双花协助</w:t>
              <w:br/>
              <w:t xml:space="preserve">    RELAY_DOS = 3;              // 中继节点拒绝服务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E.3 跨链信誉同步协议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UCA节点（由宪法法院授权）定期将各链的节点行为评分</w:t>
      </w:r>
      <w:r>
        <w:rPr>
          <w:rFonts w:eastAsia="等线" w:ascii="Arial" w:cs="Arial" w:hAnsi="Arial"/>
          <w:b w:val="true"/>
          <w:sz w:val="22"/>
        </w:rPr>
        <w:t>聚合签名</w:t>
      </w:r>
      <w:r>
        <w:rPr>
          <w:rFonts w:eastAsia="等线" w:ascii="Arial" w:cs="Arial" w:hAnsi="Arial"/>
          <w:sz w:val="22"/>
        </w:rPr>
        <w:t>后提交至根链的`ReputationAnchor`合约，实现跨链信誉联动。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根链信誉锚定合约（简化）</w:t>
              <w:br/>
              <w:t>contract ReputationAnchor {</w:t>
              <w:br/>
              <w:t xml:space="preserve">    mapping(bytes32 =&gt; uint32) public globalReputation;  // DID哈希 -&gt; 信誉分</w:t>
              <w:br/>
              <w:t xml:space="preserve">    mapping(bytes32 =&gt; mapping(string =&gt; uint32)) public perChainReputation;</w:t>
              <w:br/>
              <w:t xml:space="preserve">    </w:t>
              <w:br/>
              <w:t xml:space="preserve">    event ReputationUpdated(bytes32 indexed did, uint32 newScore, uint64 timestamp);</w:t>
              <w:br/>
              <w:t xml:space="preserve">    </w:t>
              <w:br/>
              <w:t xml:space="preserve">    function submitAggregatedReputation(</w:t>
              <w:br/>
              <w:t xml:space="preserve">        bytes32[] memory dids,</w:t>
              <w:br/>
              <w:t xml:space="preserve">        uint32[] memory scores,</w:t>
              <w:br/>
              <w:t xml:space="preserve">        bytes memory aggregatedSignature,</w:t>
              <w:br/>
              <w:t xml:space="preserve">        bytes32[] memory signerBitmap</w:t>
              <w:br/>
              <w:t xml:space="preserve">    ) external onlyUCA {</w:t>
              <w:br/>
              <w:t xml:space="preserve">        // 验证签名来自UCA委员会</w:t>
              <w:br/>
              <w:t xml:space="preserve">        // 更新信誉映射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附录F：网络层宪法治理参数提案模板</w:t>
      </w:r>
      <w:bookmarkEnd w:id="2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F.1 参数分类与治理层级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示例参数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投票阈值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**连接规则**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`MIN_CBP_PEERS`, `CROSS_CHAIN_RELAY_MIN`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**传播策略</w:t>
            </w:r>
            <w:r>
              <w:rPr>
                <w:rFonts w:eastAsia="等线" w:ascii="Arial" w:cs="Arial" w:hAnsi="Arial"/>
                <w:sz w:val="22"/>
              </w:rPr>
              <w:t>**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GNACS策略映射表条目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**聚合参数**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`AGGREGATION_WINDOW_MS`, `MAX_BATCH_SIZE</w:t>
            </w:r>
            <w:r>
              <w:rPr>
                <w:rFonts w:eastAsia="等线" w:ascii="Arial" w:cs="Arial" w:hAnsi="Arial"/>
                <w:sz w:val="22"/>
              </w:rPr>
              <w:t>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  <w:r>
              <w:rPr>
                <w:rFonts w:eastAsia="等线" w:ascii="Arial" w:cs="Arial" w:hAnsi="Arial"/>
                <w:sz w:val="22"/>
              </w:rPr>
              <w:t>1%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**</w:t>
            </w:r>
            <w:r>
              <w:rPr>
                <w:rFonts w:eastAsia="等线" w:ascii="Arial" w:cs="Arial" w:hAnsi="Arial"/>
                <w:sz w:val="22"/>
              </w:rPr>
              <w:t>信誉阈值**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女巫攻击判定阈值、惩罚金额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51%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**中继白</w:t>
            </w:r>
            <w:r>
              <w:rPr>
                <w:rFonts w:eastAsia="等线" w:ascii="Arial" w:cs="Arial" w:hAnsi="Arial"/>
                <w:sz w:val="22"/>
              </w:rPr>
              <w:t>名单**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跨链中继节点准入/剔除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F.2 提案模板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markdown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---</w:t>
              <w:br/>
              <w:t>提案编号: NAC-CSNP-{YYYY}-{XXX}</w:t>
              <w:br/>
              <w:t>提案标题: [例如：将高流动性资产（GG=01）的全网传播超时从200ms调整为150ms]</w:t>
              <w:br/>
              <w:t>提案类型: 战略级/战术级</w:t>
              <w:br/>
              <w:t>提交人: [DID]</w:t>
              <w:br/>
              <w:t>涉及模块: AA-PE / MA-RCM / FTAN / UCA / GIDS</w:t>
              <w:br/>
              <w:t>---</w:t>
              <w:br/>
              <w:br/>
              <w:t>### 1. 动机与背景</w:t>
              <w:br/>
              <w:t>（描述当前参数设置导致的问题，引用网络监控数据）</w:t>
              <w:br/>
              <w:br/>
              <w:t>### 2. 变更详情</w:t>
              <w:br/>
              <w:t>- 当前值：...</w:t>
              <w:br/>
              <w:t>- 目标值：...</w:t>
              <w:br/>
              <w:t>- 调整幅度：...</w:t>
              <w:br/>
              <w:br/>
              <w:t>### 3. 影响分析</w:t>
              <w:br/>
              <w:t>- 延迟改善：预期-50ms</w:t>
              <w:br/>
              <w:t>- 带宽消耗变化：+2%</w:t>
              <w:br/>
              <w:t>- 节点硬件要求：无显著变化</w:t>
              <w:br/>
              <w:br/>
              <w:t>### 4. 测试网验证</w:t>
              <w:br/>
              <w:t>- 模拟测试链接：IPFS哈希</w:t>
              <w:br/>
              <w:t>- 测试环境：3个CBP节点，50个全节点</w:t>
              <w:br/>
              <w:t>- 测试结果摘要：95%分位延迟从210ms降至165ms</w:t>
              <w:br/>
              <w:br/>
              <w:t>### 5. 风险与缓解</w:t>
              <w:br/>
              <w:t>- 风险描述：可能增加低性能节点的丢包率</w:t>
              <w:br/>
              <w:t>- 缓解措施：同步放宽低性能节点的出块资格要求</w:t>
              <w:br/>
              <w:br/>
              <w:t>### 6. 投票配置</w:t>
              <w:br/>
              <w:t>- 投票周期：7天</w:t>
              <w:br/>
              <w:t>- 通过阈值：66%</w:t>
              <w:br/>
              <w:t>- 时间锁：48小时</w:t>
              <w:br/>
              <w:br/>
              <w:t>### 7. 附录</w:t>
              <w:br/>
              <w:t>- 网络监控仪表板截图</w:t>
              <w:br/>
              <w:t>- 论坛</w:t>
            </w:r>
            <w:r>
              <w:rPr>
                <w:rFonts w:eastAsia="Consolas" w:ascii="Consolas" w:cs="Consolas" w:hAnsi="Consolas"/>
                <w:sz w:val="22"/>
              </w:rPr>
              <w:t>讨论帖链接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F.3 紧急参数调整流程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当发生重大网络事故（如跨链中继大面积离线、严重DDoS攻击）时，宪法法院可授权</w:t>
      </w:r>
      <w:r>
        <w:rPr>
          <w:rFonts w:eastAsia="等线" w:ascii="Arial" w:cs="Arial" w:hAnsi="Arial"/>
          <w:b w:val="true"/>
          <w:sz w:val="22"/>
        </w:rPr>
        <w:t>技术委员会</w:t>
      </w:r>
      <w:r>
        <w:rPr>
          <w:rFonts w:eastAsia="等线" w:ascii="Arial" w:cs="Arial" w:hAnsi="Arial"/>
          <w:sz w:val="22"/>
        </w:rPr>
        <w:t>通过</w:t>
      </w:r>
      <w:r>
        <w:rPr>
          <w:rFonts w:eastAsia="等线" w:ascii="Arial" w:cs="Arial" w:hAnsi="Arial"/>
          <w:b w:val="true"/>
          <w:sz w:val="22"/>
        </w:rPr>
        <w:t>多签</w:t>
      </w:r>
      <w:r>
        <w:rPr>
          <w:rFonts w:eastAsia="等线" w:ascii="Arial" w:cs="Arial" w:hAnsi="Arial"/>
          <w:sz w:val="22"/>
        </w:rPr>
        <w:t>直接调整关键网络参数，</w:t>
      </w:r>
      <w:r>
        <w:rPr>
          <w:rFonts w:eastAsia="等线" w:ascii="Arial" w:cs="Arial" w:hAnsi="Arial"/>
          <w:b w:val="true"/>
          <w:sz w:val="22"/>
        </w:rPr>
        <w:t>无需等待治理投票</w:t>
      </w:r>
      <w:r>
        <w:rPr>
          <w:rFonts w:eastAsia="等线" w:ascii="Arial" w:cs="Arial" w:hAnsi="Arial"/>
          <w:sz w:val="22"/>
        </w:rPr>
        <w:t>，但需在24小时内提交事后报告并启动追认投票。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多签阈值</w:t>
      </w:r>
      <w:r>
        <w:rPr>
          <w:rFonts w:eastAsia="等线" w:ascii="Arial" w:cs="Arial" w:hAnsi="Arial"/>
          <w:sz w:val="22"/>
        </w:rPr>
        <w:t>：宪法法院5/9法官签名 + 技术委员会3/5签名。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附录集结束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：NAC协议标准委员会 · 网络协议工作组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本附录集与《宪政结构化网络协议（CSNP）V2.0 技术白皮书》共同构成CSNP v2.0的完整技术规范。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55282">
    <w:lvl>
      <w:numFmt w:val="bullet"/>
      <w:suff w:val="tab"/>
      <w:lvlText w:val="•"/>
      <w:rPr>
        <w:color w:val="3370ff"/>
      </w:rPr>
    </w:lvl>
  </w:abstractNum>
  <w:abstractNum w:abstractNumId="55283">
    <w:lvl>
      <w:numFmt w:val="bullet"/>
      <w:suff w:val="tab"/>
      <w:lvlText w:val="•"/>
      <w:rPr>
        <w:color w:val="3370ff"/>
      </w:rPr>
    </w:lvl>
  </w:abstractNum>
  <w:abstractNum w:abstractNumId="55284">
    <w:lvl>
      <w:numFmt w:val="bullet"/>
      <w:suff w:val="tab"/>
      <w:lvlText w:val="•"/>
      <w:rPr>
        <w:color w:val="3370ff"/>
      </w:rPr>
    </w:lvl>
  </w:abstractNum>
  <w:num w:numId="1">
    <w:abstractNumId w:val="55282"/>
  </w:num>
  <w:num w:numId="2">
    <w:abstractNumId w:val="55283"/>
  </w:num>
  <w:num w:numId="3">
    <w:abstractNumId w:val="5528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2026-02-12T14:15:34Z</dcterms:created>
  <dc:creator>Apache POI</dc:creator>
</cp:coreProperties>
</file>