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NAC公链技术架构白皮书（增补版）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——基于宪法治理的完美中心化框架与去中心化执行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：NAC架构委员会 · 宪法法院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：CBPP白皮书、CSNP V2.0白皮书、CNNL规范、宪法静态验证工具链、XTZH技术白皮书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NAC公链从设计之初便秉持一个核心理念：</w:t>
      </w:r>
      <w:r>
        <w:rPr>
          <w:rFonts w:eastAsia="等线" w:ascii="Arial" w:cs="Arial" w:hAnsi="Arial"/>
          <w:b w:val="true"/>
          <w:sz w:val="22"/>
        </w:rPr>
        <w:t>规则的中心化与执行的去中心化</w:t>
      </w:r>
      <w:r>
        <w:rPr>
          <w:rFonts w:eastAsia="等线" w:ascii="Arial" w:cs="Arial" w:hAnsi="Arial"/>
          <w:sz w:val="22"/>
        </w:rPr>
        <w:t>。我们拒绝将“去中心化”简单理解为无政府主义的节点平等，而是将其升华为</w:t>
      </w:r>
      <w:r>
        <w:rPr>
          <w:rFonts w:eastAsia="等线" w:ascii="Arial" w:cs="Arial" w:hAnsi="Arial"/>
          <w:b w:val="true"/>
          <w:sz w:val="22"/>
        </w:rPr>
        <w:t>在绝对统一的宪法规则下，所有参与者自由、公平地执行法律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这一理念贯穿NAC的每一层设计。从L0基础设施到L5应用层，每一层都严格遵循宪法定义，每一行代码都在编译期接受宪法的静态验证。</w:t>
      </w:r>
      <w:r>
        <w:rPr>
          <w:rFonts w:eastAsia="等线" w:ascii="Arial" w:cs="Arial" w:hAnsi="Arial"/>
          <w:b w:val="true"/>
          <w:sz w:val="22"/>
        </w:rPr>
        <w:t>宪法是全网唯一的最高法则，任何偏离宪法的行为都将被编译器阻断或被免疫系统捕获。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本白皮书完整阐述NAC公链的七层架构（含开发者生态），明确定义每一层的职责、核心组件及与宪法层的交互关系。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一、总体架构视图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NAC公链采用分层架构，自上而下分为：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  L5: 应用层                            │</w:t>
              <w:br/>
              <w:t>│  DApps、钱包、浏览器、链上合约（Charter）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L4: AI层（预留）                      │</w:t>
              <w:br/>
              <w:t>│  宏观感知AI、预言机聚合、自进化协议（未来扩展）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L3: 保留层                            │</w:t>
              <w:br/>
              <w:t>│  （为未来扩展预留）               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L2: 宪法治理层（核心）                    │</w:t>
              <w:br/>
              <w:t>│  • CNNL宪法语言      • 宪法法院        • 宪法执行引擎(CEE) │</w:t>
              <w:br/>
              <w:t>│  • 宪法收据(CR)      • 静态验证工具    • 宪政免疫系统      │</w:t>
              <w:br/>
              <w:t>│  全网规则唯一来源，任何层级必须服从                   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    L1: 协议层                            │</w:t>
              <w:br/>
              <w:t>│  • CBPP共识协议      • CSNP网络协议    • NVM虚拟机         │</w:t>
              <w:br/>
              <w:t>│  • ACC资产协议家族   • XTZH稳定币系统  • 黄金储备管理      │</w:t>
              <w:br/>
              <w:t>├─────────────────────────────────────────────────────────────┤</w:t>
              <w:br/>
              <w:t>│                  L0: 基础设施层                            │</w:t>
              <w:br/>
              <w:t>│  ┌─────────────┬─────────────┬─────────────┬─────────────┐ │</w:t>
              <w:br/>
              <w:t>│  │ 密码学子层  │ 网络子层    │ 序列化子层  │ 存储子层    │ │</w:t>
              <w:br/>
              <w:t>│  │ Hash,签名, │ P2P连接,    │ nac_serde   │ 持久化,    │ │</w:t>
              <w:br/>
              <w:t>│  │ 随机数,     │ Gossip,     │ 编码转换    │ Merkle树,  │ │</w:t>
              <w:br/>
              <w:t>│  │ 加密算法    │ 节点发现    │             │ 状态数据库 │ │</w:t>
              <w:br/>
              <w:t>│  └─────────────┴─────────────┴─────────────┴─────────────┘ │</w:t>
              <w:br/>
              <w:t>└─────────────────────────────────────────────────────────────┘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↑ 编译/部署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开发者工具栈（链下）                       │</w:t>
              <w:br/>
              <w:t>│  • Charter编译器  • CNNL编译器  • cargo-constitution       │</w:t>
              <w:br/>
              <w:t>│  • nac-primitives • nac_serde   • nac-toolbox              │</w:t>
              <w:br/>
              <w:t>│  • nac-ide插件    • 宪法沙箱     • 测试框架                 │</w:t>
              <w:br/>
              <w:t>└────────────────────────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─────────────────────────────────────┘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设计原则</w:t>
      </w:r>
      <w:bookmarkEnd w:id="2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宪法至上</w:t>
      </w:r>
      <w:r>
        <w:rPr>
          <w:rFonts w:eastAsia="等线" w:ascii="Arial" w:cs="Arial" w:hAnsi="Arial"/>
          <w:sz w:val="22"/>
        </w:rPr>
        <w:t>：L2宪法层定义的规则对所有层级具有最高约束力，任何组件不得违背。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分层隔离</w:t>
      </w:r>
      <w:r>
        <w:rPr>
          <w:rFonts w:eastAsia="等线" w:ascii="Arial" w:cs="Arial" w:hAnsi="Arial"/>
          <w:sz w:val="22"/>
        </w:rPr>
        <w:t>：每一层仅依赖下层提供的服务，不越权访问。层间通过标准化接口通信。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可验证性</w:t>
      </w:r>
      <w:r>
        <w:rPr>
          <w:rFonts w:eastAsia="等线" w:ascii="Arial" w:cs="Arial" w:hAnsi="Arial"/>
          <w:sz w:val="22"/>
        </w:rPr>
        <w:t>：从宪法条款到代码实现，整个过程可通过静态验证和运行时免疫系统审计。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进化可控</w:t>
      </w:r>
      <w:r>
        <w:rPr>
          <w:rFonts w:eastAsia="等线" w:ascii="Arial" w:cs="Arial" w:hAnsi="Arial"/>
          <w:sz w:val="22"/>
        </w:rPr>
        <w:t>：宪法修正必须通过多层民主投票，确保改动的严肃性。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二、各层级详解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L0 基础设施层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L0提供所有上层组件运行所需的最基础能力，包括四个子层：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2.1.1 密码学子层</w:t>
      </w:r>
      <w:bookmarkEnd w:id="5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哈希算法</w:t>
      </w:r>
      <w:r>
        <w:rPr>
          <w:rFonts w:eastAsia="等线" w:ascii="Arial" w:cs="Arial" w:hAnsi="Arial"/>
          <w:sz w:val="22"/>
        </w:rPr>
        <w:t>：SHA3-384，输出48字节Hash类型，后量子安全。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签名算法</w:t>
      </w:r>
      <w:r>
        <w:rPr>
          <w:rFonts w:eastAsia="等线" w:ascii="Arial" w:cs="Arial" w:hAnsi="Arial"/>
          <w:sz w:val="22"/>
        </w:rPr>
        <w:t>：Ed25519（默认）、BLS（聚合签名）、Dilithium5（后量子备选）。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随机数</w:t>
      </w:r>
      <w:r>
        <w:rPr>
          <w:rFonts w:eastAsia="等线" w:ascii="Arial" w:cs="Arial" w:hAnsi="Arial"/>
          <w:sz w:val="22"/>
        </w:rPr>
        <w:t>：基于节点熵池的安全随机数生成。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加密算法</w:t>
      </w:r>
      <w:r>
        <w:rPr>
          <w:rFonts w:eastAsia="等线" w:ascii="Arial" w:cs="Arial" w:hAnsi="Arial"/>
          <w:sz w:val="22"/>
        </w:rPr>
        <w:t>：AES-256-GCM，用于节点间加密通信。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2.1.2 网络子层</w:t>
      </w:r>
      <w:bookmarkEnd w:id="6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P2P连接管理</w:t>
      </w:r>
      <w:r>
        <w:rPr>
          <w:rFonts w:eastAsia="等线" w:ascii="Arial" w:cs="Arial" w:hAnsi="Arial"/>
          <w:sz w:val="22"/>
        </w:rPr>
        <w:t>：建立并维护节点间长连接（TCP/QUIC），支持NAT穿透。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Gossip协议</w:t>
      </w:r>
      <w:r>
        <w:rPr>
          <w:rFonts w:eastAsia="等线" w:ascii="Arial" w:cs="Arial" w:hAnsi="Arial"/>
          <w:sz w:val="22"/>
        </w:rPr>
        <w:t>：高效广播消息（区块、交易）至全网，支持优先级队列。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节点发现</w:t>
      </w:r>
      <w:r>
        <w:rPr>
          <w:rFonts w:eastAsia="等线" w:ascii="Arial" w:cs="Arial" w:hAnsi="Arial"/>
          <w:sz w:val="22"/>
        </w:rPr>
        <w:t>：基于DHT或种子列表的节点发现机制。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澄清</w:t>
      </w:r>
      <w:r>
        <w:rPr>
          <w:rFonts w:eastAsia="等线" w:ascii="Arial" w:cs="Arial" w:hAnsi="Arial"/>
          <w:sz w:val="22"/>
        </w:rPr>
        <w:t>：P2P连接是NAC的基础通信设施，所有上层协议（CBPP、CSNP）都依赖它进行消息交换。但具体协议逻辑（如共识消息、资产感知路由）由L1实现，L0仅提供通用传输能力。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2.1.3 序列化子层（nac_serde）</w:t>
      </w:r>
      <w:bookmarkEnd w:id="7"/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统一编码转换：Hex、Base58、Base64、Bech32等8种编码。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核心类型序列化：Address、Hash、GNACS等类型按宪法定义格式编解码。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宪法状态文件序列化：确保JSON与Rust代码的一致性。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2.1.4 存储子层</w:t>
      </w:r>
      <w:bookmarkEnd w:id="8"/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持久化存储接口：支持多种后端（RocksDB、LMDB等）。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状态数据库：存储账户、资产、合约状态。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Merkle树：构建状态根、收据根，提供轻节点验证能力。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归档存储：历史全量数据，用于审计和回溯。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L0设计要点</w:t>
      </w:r>
      <w:r>
        <w:rPr>
          <w:rFonts w:eastAsia="等线" w:ascii="Arial" w:cs="Arial" w:hAnsi="Arial"/>
          <w:sz w:val="22"/>
        </w:rPr>
        <w:t>：所有子层均为通用服务，不包含任何协议逻辑。上层通过标准API调用。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2.2 L1 协议层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L1实现NAC公链的核心协议，全部在宪法约束下运行。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2.2.1 CBPP共识协议</w:t>
      </w:r>
      <w:bookmarkEnd w:id="10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宪法收据（CR）</w:t>
      </w:r>
      <w:r>
        <w:rPr>
          <w:rFonts w:eastAsia="等线" w:ascii="Arial" w:cs="Arial" w:hAnsi="Arial"/>
          <w:sz w:val="22"/>
        </w:rPr>
        <w:t>：每笔交易必须附带CR，证明其合规。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开放生产网络（OPN）</w:t>
      </w:r>
      <w:r>
        <w:rPr>
          <w:rFonts w:eastAsia="等线" w:ascii="Arial" w:cs="Arial" w:hAnsi="Arial"/>
          <w:sz w:val="22"/>
        </w:rPr>
        <w:t>：任何通过KYC和宪法测试的节点均可成为CBP，无需质押。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流体区块模型（FBM）</w:t>
      </w:r>
      <w:r>
        <w:rPr>
          <w:rFonts w:eastAsia="等线" w:ascii="Arial" w:cs="Arial" w:hAnsi="Arial"/>
          <w:sz w:val="22"/>
        </w:rPr>
        <w:t>：区块大小和出块间隔由交易流量动态决定。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收据权重分叉选择</w:t>
      </w:r>
      <w:r>
        <w:rPr>
          <w:rFonts w:eastAsia="等线" w:ascii="Arial" w:cs="Arial" w:hAnsi="Arial"/>
          <w:sz w:val="22"/>
        </w:rPr>
        <w:t>：节点选择收据权重累计最高的链。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：出块参数（Δt_min、Δt_max等）必须从宪法状态读取，禁止硬编码。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2.2.2 CSNP网络协议</w:t>
      </w:r>
      <w:bookmarkEnd w:id="11"/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全域身份目录（GIDS）</w:t>
      </w:r>
      <w:r>
        <w:rPr>
          <w:rFonts w:eastAsia="等线" w:ascii="Arial" w:cs="Arial" w:hAnsi="Arial"/>
          <w:sz w:val="22"/>
        </w:rPr>
        <w:t>：跨链DID解析与信誉聚合。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资产感知传播（AA-PE）</w:t>
      </w:r>
      <w:r>
        <w:rPr>
          <w:rFonts w:eastAsia="等线" w:ascii="Arial" w:cs="Arial" w:hAnsi="Arial"/>
          <w:sz w:val="22"/>
        </w:rPr>
        <w:t>：根据GNACS编码决定传播策略（广播、定向、警报）。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碎片化聚合（FTAN）</w:t>
      </w:r>
      <w:r>
        <w:rPr>
          <w:rFonts w:eastAsia="等线" w:ascii="Arial" w:cs="Arial" w:hAnsi="Arial"/>
          <w:sz w:val="22"/>
        </w:rPr>
        <w:t>：BLS聚合签名，批量传播小额交易。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统一跨链审计（UCA）</w:t>
      </w:r>
      <w:r>
        <w:rPr>
          <w:rFonts w:eastAsia="等线" w:ascii="Arial" w:cs="Arial" w:hAnsi="Arial"/>
          <w:sz w:val="22"/>
        </w:rPr>
        <w:t>：节点行为可验证日志。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：传播策略矩阵由宪法附录定义，网络启动时加载。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2.2.3 NVM虚拟机</w:t>
      </w:r>
      <w:bookmarkEnd w:id="12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125条RWA专用指令</w:t>
      </w:r>
      <w:r>
        <w:rPr>
          <w:rFonts w:eastAsia="等线" w:ascii="Arial" w:cs="Arial" w:hAnsi="Arial"/>
          <w:sz w:val="22"/>
        </w:rPr>
        <w:t>：GNACS操作、合规检查、预言机查询。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Gas成本表</w:t>
      </w:r>
      <w:r>
        <w:rPr>
          <w:rFonts w:eastAsia="等线" w:ascii="Arial" w:cs="Arial" w:hAnsi="Arial"/>
          <w:sz w:val="22"/>
        </w:rPr>
        <w:t>：由宪法状态固化，不可修改。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ZK证明验证</w:t>
      </w:r>
      <w:r>
        <w:rPr>
          <w:rFonts w:eastAsia="等线" w:ascii="Arial" w:cs="Arial" w:hAnsi="Arial"/>
          <w:sz w:val="22"/>
        </w:rPr>
        <w:t>：支持Groth16/Plonk/Halo2。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TEE远程认证</w:t>
      </w:r>
      <w:r>
        <w:rPr>
          <w:rFonts w:eastAsia="等线" w:ascii="Arial" w:cs="Arial" w:hAnsi="Arial"/>
          <w:sz w:val="22"/>
        </w:rPr>
        <w:t>：验证NVIDIA H100等可信执行环境。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2.2.4 ACC资产协议家族</w:t>
      </w:r>
      <w:bookmarkEnd w:id="13"/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GNACS 48位数字基因</w:t>
      </w:r>
      <w:r>
        <w:rPr>
          <w:rFonts w:eastAsia="等线" w:ascii="Arial" w:cs="Arial" w:hAnsi="Arial"/>
          <w:sz w:val="22"/>
        </w:rPr>
        <w:t>：资产物理/法律/动态属性编码。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ACC-20（同质化RWA）</w:t>
      </w:r>
      <w:r>
        <w:rPr>
          <w:rFonts w:eastAsia="等线" w:ascii="Arial" w:cs="Arial" w:hAnsi="Arial"/>
          <w:sz w:val="22"/>
        </w:rPr>
        <w:t>：支持分区管理、合规钩子。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ACC-721（NFT）</w:t>
      </w:r>
      <w:r>
        <w:rPr>
          <w:rFonts w:eastAsia="等线" w:ascii="Arial" w:cs="Arial" w:hAnsi="Arial"/>
          <w:sz w:val="22"/>
        </w:rPr>
        <w:t>：非同质化资产标准。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ACC-1400（证券型代币）</w:t>
      </w:r>
      <w:r>
        <w:rPr>
          <w:rFonts w:eastAsia="等线" w:ascii="Arial" w:cs="Arial" w:hAnsi="Arial"/>
          <w:sz w:val="22"/>
        </w:rPr>
        <w:t>：合规内置的证券发行。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2.2.5 XTZH稳定币系统</w:t>
      </w:r>
      <w:bookmarkEnd w:id="14"/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三重锚定</w:t>
      </w:r>
      <w:r>
        <w:rPr>
          <w:rFonts w:eastAsia="等线" w:ascii="Arial" w:cs="Arial" w:hAnsi="Arial"/>
          <w:sz w:val="22"/>
        </w:rPr>
        <w:t>：货币（40%）+黄金（10%）+商品（50%），AI动态权重。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黄金永续合约储备</w:t>
      </w:r>
      <w:r>
        <w:rPr>
          <w:rFonts w:eastAsia="等线" w:ascii="Arial" w:cs="Arial" w:hAnsi="Arial"/>
          <w:sz w:val="22"/>
        </w:rPr>
        <w:t>：125%超额覆盖，动态杠杆，自动减仓。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宏观感知AI模型</w:t>
      </w:r>
      <w:r>
        <w:rPr>
          <w:rFonts w:eastAsia="等线" w:ascii="Arial" w:cs="Arial" w:hAnsi="Arial"/>
          <w:sz w:val="22"/>
        </w:rPr>
        <w:t>：50维特征预测次日CPI/PPI/PMI。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：覆盖率底线、赎回队列规则由宪法条款强制。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2.3 L2 宪法治理层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L2是NAC的核心创新，将立法、司法、执法权统一在一个可验证的层级。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2.3.1 CNNL宪法语言</w:t>
      </w:r>
      <w:bookmarkEnd w:id="16"/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声明式立法语法，支持义务、权利、时态逻辑。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编译器输出宪法状态文件（JSON+Rust）和宪法哈希。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形式化验证：通过Z3求解器保证条款一致性。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2.3.2 宪法执行引擎（CEE）</w:t>
      </w:r>
      <w:bookmarkEnd w:id="17"/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至少7个独立节点，由宪法法院授权。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接收交易请求，执行宪法谓词，签发宪法收据（CR）。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高价值交易可要求多重签名。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2.3.3 宪法法院</w:t>
      </w:r>
      <w:bookmarkEnd w:id="18"/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职责：宪法解释、争议裁决、紧急干预、修正案审查。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裁决上链存证，可通过NVM指令查询。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9" w:id="19"/>
      <w:r>
        <w:rPr>
          <w:rFonts w:eastAsia="等线" w:ascii="Arial" w:cs="Arial" w:hAnsi="Arial"/>
          <w:b w:val="true"/>
          <w:sz w:val="30"/>
        </w:rPr>
        <w:t>2.3.4 宪法收据（CR）</w:t>
      </w:r>
      <w:bookmarkEnd w:id="19"/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交易合规的唯一凭证，数据结构包含宪法哈希、验证结果、签名。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无CR的交易被全网拒绝。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0" w:id="20"/>
      <w:r>
        <w:rPr>
          <w:rFonts w:eastAsia="等线" w:ascii="Arial" w:cs="Arial" w:hAnsi="Arial"/>
          <w:b w:val="true"/>
          <w:sz w:val="30"/>
        </w:rPr>
        <w:t>2.3.5 宪法静态验证工具链</w:t>
      </w:r>
      <w:bookmarkEnd w:id="20"/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cargo-constitution</w:t>
      </w:r>
      <w:r>
        <w:rPr>
          <w:rFonts w:eastAsia="等线" w:ascii="Arial" w:cs="Arial" w:hAnsi="Arial"/>
          <w:sz w:val="22"/>
        </w:rPr>
        <w:t>：Rust Lint集合，强制宪法一致性。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Charter编译器增强：禁止同名可变变量，强制编码规范。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宪法沙箱：模拟宪法变更对现有代码的影响。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1" w:id="21"/>
      <w:r>
        <w:rPr>
          <w:rFonts w:eastAsia="等线" w:ascii="Arial" w:cs="Arial" w:hAnsi="Arial"/>
          <w:b w:val="true"/>
          <w:sz w:val="30"/>
        </w:rPr>
        <w:t>2.3.6 宪政免疫系统</w:t>
      </w:r>
      <w:bookmarkEnd w:id="21"/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静态排异：跨crate宪法版本一致性检查。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动态监控：运行时检测宪法参数偏离。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二次验证：随机抽样CEE收据与本地谓词比对。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2.4 L3 保留层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为未来扩展预留，当前不启用。可能的用途包括：跨链互操作中枢、零知识证明聚合层等。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2.5 L4 AI层（预留）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未来将承载：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宏观感知AI</w:t>
      </w:r>
      <w:r>
        <w:rPr>
          <w:rFonts w:eastAsia="等线" w:ascii="Arial" w:cs="Arial" w:hAnsi="Arial"/>
          <w:sz w:val="22"/>
        </w:rPr>
        <w:t>：XTZH汇率模型的持续学习与升级。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预言机聚合</w:t>
      </w:r>
      <w:r>
        <w:rPr>
          <w:rFonts w:eastAsia="等线" w:ascii="Arial" w:cs="Arial" w:hAnsi="Arial"/>
          <w:sz w:val="22"/>
        </w:rPr>
        <w:t>：多数据源融合与异常检测。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自进化协议</w:t>
      </w:r>
      <w:r>
        <w:rPr>
          <w:rFonts w:eastAsia="等线" w:ascii="Arial" w:cs="Arial" w:hAnsi="Arial"/>
          <w:sz w:val="22"/>
        </w:rPr>
        <w:t>：在宪法允许范围内优化网络参数。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宪法约束</w:t>
      </w:r>
      <w:r>
        <w:rPr>
          <w:rFonts w:eastAsia="等线" w:ascii="Arial" w:cs="Arial" w:hAnsi="Arial"/>
          <w:sz w:val="22"/>
        </w:rPr>
        <w:t>：AI决策仅作建议，最终执行需经人类或宪法授权。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2.6 L5 应用层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面向终端用户和业务场景，包括：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DApps</w:t>
      </w:r>
      <w:r>
        <w:rPr>
          <w:rFonts w:eastAsia="等线" w:ascii="Arial" w:cs="Arial" w:hAnsi="Arial"/>
          <w:sz w:val="22"/>
        </w:rPr>
        <w:t>：基于Charter合约的去中心化应用。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钱包</w:t>
      </w:r>
      <w:r>
        <w:rPr>
          <w:rFonts w:eastAsia="等线" w:ascii="Arial" w:cs="Arial" w:hAnsi="Arial"/>
          <w:sz w:val="22"/>
        </w:rPr>
        <w:t>：支持NAC核心类型和宪法收据。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区块链浏览器</w:t>
      </w:r>
      <w:r>
        <w:rPr>
          <w:rFonts w:eastAsia="等线" w:ascii="Arial" w:cs="Arial" w:hAnsi="Arial"/>
          <w:sz w:val="22"/>
        </w:rPr>
        <w:t>：展示区块、交易、宪法状态。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监管接口</w:t>
      </w:r>
      <w:r>
        <w:rPr>
          <w:rFonts w:eastAsia="等线" w:ascii="Arial" w:cs="Arial" w:hAnsi="Arial"/>
          <w:sz w:val="22"/>
        </w:rPr>
        <w:t>：供合规机构查询链上数据。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宪法约束</w:t>
      </w:r>
      <w:r>
        <w:rPr>
          <w:rFonts w:eastAsia="等线" w:ascii="Arial" w:cs="Arial" w:hAnsi="Arial"/>
          <w:sz w:val="22"/>
        </w:rPr>
        <w:t>：应用层不得绕过宪法收据验证，所有交易必须合规。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三、开发者工具栈（链下）</w:t>
      </w:r>
      <w:bookmarkEnd w:id="2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开发者工具栈独立于链上运行时，用于编写、编译、测试、部署NAC组件。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3000"/>
        <w:gridCol w:w="3000"/>
      </w:tblGrid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工具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功能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Charter编译器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.charter</w:t>
            </w:r>
            <w:r>
              <w:rPr>
                <w:rFonts w:eastAsia="等线" w:ascii="Arial" w:cs="Arial" w:hAnsi="Arial"/>
                <w:sz w:val="22"/>
              </w:rPr>
              <w:t>编译为NVM字节码和ABI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CNNL编译器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将</w:t>
            </w:r>
            <w:r>
              <w:rPr>
                <w:rFonts w:eastAsia="Consolas" w:ascii="Consolas" w:cs="Consolas" w:hAnsi="Consolas"/>
                <w:sz w:val="22"/>
                <w:shd w:fill="EFF0F1"/>
              </w:rPr>
              <w:t>.cnnl</w:t>
            </w:r>
            <w:r>
              <w:rPr>
                <w:rFonts w:eastAsia="等线" w:ascii="Arial" w:cs="Arial" w:hAnsi="Arial"/>
                <w:sz w:val="22"/>
              </w:rPr>
              <w:t>编译为宪法状态</w:t>
            </w:r>
            <w:r>
              <w:rPr>
                <w:rFonts w:eastAsia="等线" w:ascii="Arial" w:cs="Arial" w:hAnsi="Arial"/>
                <w:sz w:val="22"/>
              </w:rPr>
              <w:t>文件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cargo-constitution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Rust Lint集合，宪法一致性检查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nac-primitives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核心类型库（Address、Hash、GNACS等）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nac_serde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统一序列化库，8</w:t>
            </w:r>
            <w:r>
              <w:rPr>
                <w:rFonts w:eastAsia="等线" w:ascii="Arial" w:cs="Arial" w:hAnsi="Arial"/>
                <w:sz w:val="22"/>
              </w:rPr>
              <w:t>组编码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nac-toolbox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统一CLI：项目创建、构建、测试、部署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nac-ide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VS Code等编辑器插件，语法高亮、实时验证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宪法沙箱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链下模拟宪法变更的</w:t>
            </w:r>
            <w:r>
              <w:rPr>
                <w:rFonts w:eastAsia="等线" w:ascii="Arial" w:cs="Arial" w:hAnsi="Arial"/>
                <w:sz w:val="22"/>
              </w:rPr>
              <w:t>影响</w:t>
            </w:r>
          </w:p>
        </w:tc>
      </w:tr>
      <w:tr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测试框架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单元测试、集成测试、模糊测试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工具栈与链上层级的关系：</w:t>
      </w:r>
      <w:r>
        <w:rPr>
          <w:rFonts w:eastAsia="等线" w:ascii="Arial" w:cs="Arial" w:hAnsi="Arial"/>
          <w:b w:val="true"/>
          <w:sz w:val="22"/>
        </w:rPr>
        <w:t>工具的输出（字节码、状态文件）被链上组件加载执行</w:t>
      </w:r>
      <w:r>
        <w:rPr>
          <w:rFonts w:eastAsia="等线" w:ascii="Arial" w:cs="Arial" w:hAnsi="Arial"/>
          <w:sz w:val="22"/>
        </w:rPr>
        <w:t>。工具本身不在链上运行，但必须通过宪法法院审计，保证其正确性。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6" w:id="26"/>
      <w:r>
        <w:rPr>
          <w:rFonts w:eastAsia="等线" w:ascii="Arial" w:cs="Arial" w:hAnsi="Arial"/>
          <w:b w:val="true"/>
          <w:sz w:val="36"/>
        </w:rPr>
        <w:t>四、核心概念澄清</w:t>
      </w:r>
      <w:bookmarkEnd w:id="2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4.1 宪法状态文件</w:t>
      </w:r>
      <w:bookmarkEnd w:id="2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宪法状态文件是连接立法与执行的桥梁，由CNNL编译器生成，包含：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参数常量（如</w:t>
      </w:r>
      <w:r>
        <w:rPr>
          <w:rFonts w:eastAsia="Consolas" w:ascii="Consolas" w:cs="Consolas" w:hAnsi="Consolas"/>
          <w:sz w:val="22"/>
          <w:shd w:fill="EFF0F1"/>
        </w:rPr>
        <w:t>CBPP_DT_MIN</w:t>
      </w:r>
      <w:r>
        <w:rPr>
          <w:rFonts w:eastAsia="等线" w:ascii="Arial" w:cs="Arial" w:hAnsi="Arial"/>
          <w:sz w:val="22"/>
        </w:rPr>
        <w:t>）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谓词函数（如</w:t>
      </w:r>
      <w:r>
        <w:rPr>
          <w:rFonts w:eastAsia="Consolas" w:ascii="Consolas" w:cs="Consolas" w:hAnsi="Consolas"/>
          <w:sz w:val="22"/>
          <w:shd w:fill="EFF0F1"/>
        </w:rPr>
        <w:t>XTZH_GOLD_COVERAGE</w:t>
      </w:r>
      <w:r>
        <w:rPr>
          <w:rFonts w:eastAsia="等线" w:ascii="Arial" w:cs="Arial" w:hAnsi="Arial"/>
          <w:sz w:val="22"/>
        </w:rPr>
        <w:t>）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类型布局（Address字段偏移）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编码标准（Bech32 HRP等）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宪法哈希（全网唯一标识）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4.2 宪法收据（CR）</w:t>
      </w:r>
      <w:bookmarkEnd w:id="2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CR是交易合规的唯一凭证。无CR的交易被视为非法，直接被网络拒绝。CBP节点打包交易前必须验证CR的有效性。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4.3 宪法哈希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宪法哈希是当前生效宪法版本的唯一标识，被嵌入每个区块头。节点启动时同步最新宪法哈希，拒绝与本地不一致的区块。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五、治理与宪法修正</w:t>
      </w:r>
      <w:bookmarkEnd w:id="3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宪法修改必须通过以下流程：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提案</w:t>
      </w:r>
      <w:r>
        <w:rPr>
          <w:rFonts w:eastAsia="等线" w:ascii="Arial" w:cs="Arial" w:hAnsi="Arial"/>
          <w:sz w:val="22"/>
        </w:rPr>
        <w:t>：质押XIC提交</w:t>
      </w:r>
      <w:r>
        <w:rPr>
          <w:rFonts w:eastAsia="Consolas" w:ascii="Consolas" w:cs="Consolas" w:hAnsi="Consolas"/>
          <w:sz w:val="22"/>
          <w:shd w:fill="EFF0F1"/>
        </w:rPr>
        <w:t>.cnnl</w:t>
      </w:r>
      <w:r>
        <w:rPr>
          <w:rFonts w:eastAsia="等线" w:ascii="Arial" w:cs="Arial" w:hAnsi="Arial"/>
          <w:sz w:val="22"/>
        </w:rPr>
        <w:t>修改文件。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宪法法院审查</w:t>
      </w:r>
      <w:r>
        <w:rPr>
          <w:rFonts w:eastAsia="等线" w:ascii="Arial" w:cs="Arial" w:hAnsi="Arial"/>
          <w:sz w:val="22"/>
        </w:rPr>
        <w:t>：审查是否违宪，是否侵犯永恒条款。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社区讨论</w:t>
      </w:r>
      <w:r>
        <w:rPr>
          <w:rFonts w:eastAsia="等线" w:ascii="Arial" w:cs="Arial" w:hAnsi="Arial"/>
          <w:sz w:val="22"/>
        </w:rPr>
        <w:t>：14天公开讨论，提案者可修改。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立法议会投票</w:t>
      </w:r>
      <w:r>
        <w:rPr>
          <w:rFonts w:eastAsia="等线" w:ascii="Arial" w:cs="Arial" w:hAnsi="Arial"/>
          <w:sz w:val="22"/>
        </w:rPr>
        <w:t>：XIC二次方投票，需≥66%（永恒条款≥90%）。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全民公投</w:t>
      </w:r>
      <w:r>
        <w:rPr>
          <w:rFonts w:eastAsia="等线" w:ascii="Arial" w:cs="Arial" w:hAnsi="Arial"/>
          <w:sz w:val="22"/>
        </w:rPr>
        <w:t>：21天，参与率≥40%，赞成率≥66%（永恒条款≥90%）。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冷静期</w:t>
      </w:r>
      <w:r>
        <w:rPr>
          <w:rFonts w:eastAsia="等线" w:ascii="Arial" w:cs="Arial" w:hAnsi="Arial"/>
          <w:sz w:val="22"/>
        </w:rPr>
        <w:t>：30天，期间可紧急叫停（需宪法法院7/9法官同意）。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激活</w:t>
      </w:r>
      <w:r>
        <w:rPr>
          <w:rFonts w:eastAsia="等线" w:ascii="Arial" w:cs="Arial" w:hAnsi="Arial"/>
          <w:sz w:val="22"/>
        </w:rPr>
        <w:t>：CNNL编译器重新生成宪法状态文件，全网节点在下一个纪元自动更新。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紧急通道</w:t>
      </w:r>
      <w:r>
        <w:rPr>
          <w:rFonts w:eastAsia="等线" w:ascii="Arial" w:cs="Arial" w:hAnsi="Arial"/>
          <w:sz w:val="22"/>
        </w:rPr>
        <w:t>：发生重大安全事件时，宪法法院可签发紧急令状，临时调整战术级参数，有效期≤72小时，事后需追认投票。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1" w:id="31"/>
      <w:r>
        <w:rPr>
          <w:rFonts w:eastAsia="等线" w:ascii="Arial" w:cs="Arial" w:hAnsi="Arial"/>
          <w:b w:val="true"/>
          <w:sz w:val="36"/>
        </w:rPr>
        <w:t>六、总结</w:t>
      </w:r>
      <w:bookmarkEnd w:id="3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NAC公链通过七层架构（L0-L5）和开发者工具栈，实现了“完美中心化框架下的去中心化”：</w:t>
      </w:r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L2宪法层</w:t>
      </w:r>
      <w:r>
        <w:rPr>
          <w:rFonts w:eastAsia="等线" w:ascii="Arial" w:cs="Arial" w:hAnsi="Arial"/>
          <w:sz w:val="22"/>
        </w:rPr>
        <w:t>是绝对的中心——全网唯一规则来源，由民主程序制定，不可违逆。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L1协议层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L0基础设施层</w:t>
      </w:r>
      <w:r>
        <w:rPr>
          <w:rFonts w:eastAsia="等线" w:ascii="Arial" w:cs="Arial" w:hAnsi="Arial"/>
          <w:sz w:val="22"/>
        </w:rPr>
        <w:t>是去中心化的执行者——无数节点在宪法规则下自由竞争、协作。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开发者工具栈</w:t>
      </w:r>
      <w:r>
        <w:rPr>
          <w:rFonts w:eastAsia="等线" w:ascii="Arial" w:cs="Arial" w:hAnsi="Arial"/>
          <w:sz w:val="22"/>
        </w:rPr>
        <w:t>确保从立法到代码的每一步都可验证、可审计。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宪法即代码，代码即宪法</w:t>
      </w:r>
      <w:r>
        <w:rPr>
          <w:rFonts w:eastAsia="等线" w:ascii="Arial" w:cs="Arial" w:hAnsi="Arial"/>
          <w:sz w:val="22"/>
        </w:rPr>
        <w:t>。NAC的每一笔交易都携带宪法收据，每一行代码都经过宪法验证。这不是一个理想化的白皮书，而是一台正在启动的真理机器。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：NAC架构委员会 · 宪法法院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本白皮书与CBPP、CSNP、CNNL、XTZH等技术白皮书共同构成NAC公链完整的技术宪法。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902381">
    <w:lvl>
      <w:numFmt w:val="bullet"/>
      <w:suff w:val="tab"/>
      <w:lvlText w:val="•"/>
      <w:rPr>
        <w:color w:val="3370ff"/>
      </w:rPr>
    </w:lvl>
  </w:abstractNum>
  <w:abstractNum w:abstractNumId="2902382">
    <w:lvl>
      <w:numFmt w:val="bullet"/>
      <w:suff w:val="tab"/>
      <w:lvlText w:val="•"/>
      <w:rPr>
        <w:color w:val="3370ff"/>
      </w:rPr>
    </w:lvl>
  </w:abstractNum>
  <w:abstractNum w:abstractNumId="2902383">
    <w:lvl>
      <w:numFmt w:val="bullet"/>
      <w:suff w:val="tab"/>
      <w:lvlText w:val="•"/>
      <w:rPr>
        <w:color w:val="3370ff"/>
      </w:rPr>
    </w:lvl>
  </w:abstractNum>
  <w:abstractNum w:abstractNumId="2902384">
    <w:lvl>
      <w:numFmt w:val="bullet"/>
      <w:suff w:val="tab"/>
      <w:lvlText w:val="•"/>
      <w:rPr>
        <w:color w:val="3370ff"/>
      </w:rPr>
    </w:lvl>
  </w:abstractNum>
  <w:abstractNum w:abstractNumId="2902385">
    <w:lvl>
      <w:numFmt w:val="bullet"/>
      <w:suff w:val="tab"/>
      <w:lvlText w:val="•"/>
      <w:rPr>
        <w:color w:val="3370ff"/>
      </w:rPr>
    </w:lvl>
  </w:abstractNum>
  <w:abstractNum w:abstractNumId="2902386">
    <w:lvl>
      <w:numFmt w:val="bullet"/>
      <w:suff w:val="tab"/>
      <w:lvlText w:val="•"/>
      <w:rPr>
        <w:color w:val="3370ff"/>
      </w:rPr>
    </w:lvl>
  </w:abstractNum>
  <w:abstractNum w:abstractNumId="2902387">
    <w:lvl>
      <w:numFmt w:val="bullet"/>
      <w:suff w:val="tab"/>
      <w:lvlText w:val="•"/>
      <w:rPr>
        <w:color w:val="3370ff"/>
      </w:rPr>
    </w:lvl>
  </w:abstractNum>
  <w:abstractNum w:abstractNumId="2902388">
    <w:lvl>
      <w:numFmt w:val="bullet"/>
      <w:suff w:val="tab"/>
      <w:lvlText w:val="•"/>
      <w:rPr>
        <w:color w:val="3370ff"/>
      </w:rPr>
    </w:lvl>
  </w:abstractNum>
  <w:abstractNum w:abstractNumId="2902389">
    <w:lvl>
      <w:numFmt w:val="bullet"/>
      <w:suff w:val="tab"/>
      <w:lvlText w:val="•"/>
      <w:rPr>
        <w:color w:val="3370ff"/>
      </w:rPr>
    </w:lvl>
  </w:abstractNum>
  <w:abstractNum w:abstractNumId="2902390">
    <w:lvl>
      <w:numFmt w:val="bullet"/>
      <w:suff w:val="tab"/>
      <w:lvlText w:val="•"/>
      <w:rPr>
        <w:color w:val="3370ff"/>
      </w:rPr>
    </w:lvl>
  </w:abstractNum>
  <w:abstractNum w:abstractNumId="2902391">
    <w:lvl>
      <w:numFmt w:val="bullet"/>
      <w:suff w:val="tab"/>
      <w:lvlText w:val="•"/>
      <w:rPr>
        <w:color w:val="3370ff"/>
      </w:rPr>
    </w:lvl>
  </w:abstractNum>
  <w:abstractNum w:abstractNumId="2902392">
    <w:lvl>
      <w:numFmt w:val="bullet"/>
      <w:suff w:val="tab"/>
      <w:lvlText w:val="•"/>
      <w:rPr>
        <w:color w:val="3370ff"/>
      </w:rPr>
    </w:lvl>
  </w:abstractNum>
  <w:abstractNum w:abstractNumId="2902393">
    <w:lvl>
      <w:numFmt w:val="bullet"/>
      <w:suff w:val="tab"/>
      <w:lvlText w:val="•"/>
      <w:rPr>
        <w:color w:val="3370ff"/>
      </w:rPr>
    </w:lvl>
  </w:abstractNum>
  <w:abstractNum w:abstractNumId="2902394">
    <w:lvl>
      <w:numFmt w:val="bullet"/>
      <w:suff w:val="tab"/>
      <w:lvlText w:val="•"/>
      <w:rPr>
        <w:color w:val="3370ff"/>
      </w:rPr>
    </w:lvl>
  </w:abstractNum>
  <w:abstractNum w:abstractNumId="2902395">
    <w:lvl>
      <w:numFmt w:val="bullet"/>
      <w:suff w:val="tab"/>
      <w:lvlText w:val="•"/>
      <w:rPr>
        <w:color w:val="3370ff"/>
      </w:rPr>
    </w:lvl>
  </w:abstractNum>
  <w:abstractNum w:abstractNumId="2902396">
    <w:lvl>
      <w:numFmt w:val="bullet"/>
      <w:suff w:val="tab"/>
      <w:lvlText w:val="•"/>
      <w:rPr>
        <w:color w:val="3370ff"/>
      </w:rPr>
    </w:lvl>
  </w:abstractNum>
  <w:abstractNum w:abstractNumId="2902397">
    <w:lvl>
      <w:numFmt w:val="bullet"/>
      <w:suff w:val="tab"/>
      <w:lvlText w:val="•"/>
      <w:rPr>
        <w:color w:val="3370ff"/>
      </w:rPr>
    </w:lvl>
  </w:abstractNum>
  <w:abstractNum w:abstractNumId="2902398">
    <w:lvl>
      <w:numFmt w:val="bullet"/>
      <w:suff w:val="tab"/>
      <w:lvlText w:val="•"/>
      <w:rPr>
        <w:color w:val="3370ff"/>
      </w:rPr>
    </w:lvl>
  </w:abstractNum>
  <w:abstractNum w:abstractNumId="2902399">
    <w:lvl>
      <w:numFmt w:val="bullet"/>
      <w:suff w:val="tab"/>
      <w:lvlText w:val="•"/>
      <w:rPr>
        <w:color w:val="3370ff"/>
      </w:rPr>
    </w:lvl>
  </w:abstractNum>
  <w:abstractNum w:abstractNumId="2902400">
    <w:lvl>
      <w:numFmt w:val="bullet"/>
      <w:suff w:val="tab"/>
      <w:lvlText w:val="•"/>
      <w:rPr>
        <w:color w:val="3370ff"/>
      </w:rPr>
    </w:lvl>
  </w:abstractNum>
  <w:abstractNum w:abstractNumId="2902401">
    <w:lvl>
      <w:numFmt w:val="bullet"/>
      <w:suff w:val="tab"/>
      <w:lvlText w:val="•"/>
      <w:rPr>
        <w:color w:val="3370ff"/>
      </w:rPr>
    </w:lvl>
  </w:abstractNum>
  <w:abstractNum w:abstractNumId="2902402">
    <w:lvl>
      <w:numFmt w:val="bullet"/>
      <w:suff w:val="tab"/>
      <w:lvlText w:val="•"/>
      <w:rPr>
        <w:color w:val="3370ff"/>
      </w:rPr>
    </w:lvl>
  </w:abstractNum>
  <w:abstractNum w:abstractNumId="2902403">
    <w:lvl>
      <w:numFmt w:val="bullet"/>
      <w:suff w:val="tab"/>
      <w:lvlText w:val="•"/>
      <w:rPr>
        <w:color w:val="3370ff"/>
      </w:rPr>
    </w:lvl>
  </w:abstractNum>
  <w:abstractNum w:abstractNumId="2902404">
    <w:lvl>
      <w:numFmt w:val="bullet"/>
      <w:suff w:val="tab"/>
      <w:lvlText w:val="•"/>
      <w:rPr>
        <w:color w:val="3370ff"/>
      </w:rPr>
    </w:lvl>
  </w:abstractNum>
  <w:abstractNum w:abstractNumId="2902405">
    <w:lvl>
      <w:numFmt w:val="bullet"/>
      <w:suff w:val="tab"/>
      <w:lvlText w:val="•"/>
      <w:rPr>
        <w:color w:val="3370ff"/>
      </w:rPr>
    </w:lvl>
  </w:abstractNum>
  <w:abstractNum w:abstractNumId="2902406">
    <w:lvl>
      <w:numFmt w:val="bullet"/>
      <w:suff w:val="tab"/>
      <w:lvlText w:val="•"/>
      <w:rPr>
        <w:color w:val="3370ff"/>
      </w:rPr>
    </w:lvl>
  </w:abstractNum>
  <w:abstractNum w:abstractNumId="2902407">
    <w:lvl>
      <w:numFmt w:val="bullet"/>
      <w:suff w:val="tab"/>
      <w:lvlText w:val="•"/>
      <w:rPr>
        <w:color w:val="3370ff"/>
      </w:rPr>
    </w:lvl>
  </w:abstractNum>
  <w:abstractNum w:abstractNumId="2902408">
    <w:lvl>
      <w:numFmt w:val="bullet"/>
      <w:suff w:val="tab"/>
      <w:lvlText w:val="•"/>
      <w:rPr>
        <w:color w:val="3370ff"/>
      </w:rPr>
    </w:lvl>
  </w:abstractNum>
  <w:abstractNum w:abstractNumId="2902409">
    <w:lvl>
      <w:numFmt w:val="bullet"/>
      <w:suff w:val="tab"/>
      <w:lvlText w:val="•"/>
      <w:rPr>
        <w:color w:val="3370ff"/>
      </w:rPr>
    </w:lvl>
  </w:abstractNum>
  <w:abstractNum w:abstractNumId="2902410">
    <w:lvl>
      <w:numFmt w:val="bullet"/>
      <w:suff w:val="tab"/>
      <w:lvlText w:val="•"/>
      <w:rPr>
        <w:color w:val="3370ff"/>
      </w:rPr>
    </w:lvl>
  </w:abstractNum>
  <w:abstractNum w:abstractNumId="2902411">
    <w:lvl>
      <w:numFmt w:val="bullet"/>
      <w:suff w:val="tab"/>
      <w:lvlText w:val="•"/>
      <w:rPr>
        <w:color w:val="3370ff"/>
      </w:rPr>
    </w:lvl>
  </w:abstractNum>
  <w:abstractNum w:abstractNumId="2902412">
    <w:lvl>
      <w:numFmt w:val="bullet"/>
      <w:suff w:val="tab"/>
      <w:lvlText w:val="•"/>
      <w:rPr>
        <w:color w:val="3370ff"/>
      </w:rPr>
    </w:lvl>
  </w:abstractNum>
  <w:abstractNum w:abstractNumId="2902413">
    <w:lvl>
      <w:numFmt w:val="bullet"/>
      <w:suff w:val="tab"/>
      <w:lvlText w:val="•"/>
      <w:rPr>
        <w:color w:val="3370ff"/>
      </w:rPr>
    </w:lvl>
  </w:abstractNum>
  <w:abstractNum w:abstractNumId="2902414">
    <w:lvl>
      <w:numFmt w:val="bullet"/>
      <w:suff w:val="tab"/>
      <w:lvlText w:val="•"/>
      <w:rPr>
        <w:color w:val="3370ff"/>
      </w:rPr>
    </w:lvl>
  </w:abstractNum>
  <w:abstractNum w:abstractNumId="2902415">
    <w:lvl>
      <w:numFmt w:val="bullet"/>
      <w:suff w:val="tab"/>
      <w:lvlText w:val="•"/>
      <w:rPr>
        <w:color w:val="3370ff"/>
      </w:rPr>
    </w:lvl>
  </w:abstractNum>
  <w:abstractNum w:abstractNumId="2902416">
    <w:lvl>
      <w:numFmt w:val="bullet"/>
      <w:suff w:val="tab"/>
      <w:lvlText w:val="•"/>
      <w:rPr>
        <w:color w:val="3370ff"/>
      </w:rPr>
    </w:lvl>
  </w:abstractNum>
  <w:abstractNum w:abstractNumId="2902417">
    <w:lvl>
      <w:numFmt w:val="bullet"/>
      <w:suff w:val="tab"/>
      <w:lvlText w:val="•"/>
      <w:rPr>
        <w:color w:val="3370ff"/>
      </w:rPr>
    </w:lvl>
  </w:abstractNum>
  <w:abstractNum w:abstractNumId="2902418">
    <w:lvl>
      <w:numFmt w:val="bullet"/>
      <w:suff w:val="tab"/>
      <w:lvlText w:val="•"/>
      <w:rPr>
        <w:color w:val="3370ff"/>
      </w:rPr>
    </w:lvl>
  </w:abstractNum>
  <w:abstractNum w:abstractNumId="2902419">
    <w:lvl>
      <w:numFmt w:val="bullet"/>
      <w:suff w:val="tab"/>
      <w:lvlText w:val="•"/>
      <w:rPr>
        <w:color w:val="3370ff"/>
      </w:rPr>
    </w:lvl>
  </w:abstractNum>
  <w:abstractNum w:abstractNumId="2902420">
    <w:lvl>
      <w:numFmt w:val="bullet"/>
      <w:suff w:val="tab"/>
      <w:lvlText w:val="•"/>
      <w:rPr>
        <w:color w:val="3370ff"/>
      </w:rPr>
    </w:lvl>
  </w:abstractNum>
  <w:abstractNum w:abstractNumId="2902421">
    <w:lvl>
      <w:numFmt w:val="bullet"/>
      <w:suff w:val="tab"/>
      <w:lvlText w:val="•"/>
      <w:rPr>
        <w:color w:val="3370ff"/>
      </w:rPr>
    </w:lvl>
  </w:abstractNum>
  <w:abstractNum w:abstractNumId="2902422">
    <w:lvl>
      <w:numFmt w:val="bullet"/>
      <w:suff w:val="tab"/>
      <w:lvlText w:val="•"/>
      <w:rPr>
        <w:color w:val="3370ff"/>
      </w:rPr>
    </w:lvl>
  </w:abstractNum>
  <w:abstractNum w:abstractNumId="2902423">
    <w:lvl>
      <w:numFmt w:val="bullet"/>
      <w:suff w:val="tab"/>
      <w:lvlText w:val="•"/>
      <w:rPr>
        <w:color w:val="3370ff"/>
      </w:rPr>
    </w:lvl>
  </w:abstractNum>
  <w:abstractNum w:abstractNumId="2902424">
    <w:lvl>
      <w:numFmt w:val="bullet"/>
      <w:suff w:val="tab"/>
      <w:lvlText w:val="•"/>
      <w:rPr>
        <w:color w:val="3370ff"/>
      </w:rPr>
    </w:lvl>
  </w:abstractNum>
  <w:abstractNum w:abstractNumId="2902425">
    <w:lvl>
      <w:numFmt w:val="bullet"/>
      <w:suff w:val="tab"/>
      <w:lvlText w:val="•"/>
      <w:rPr>
        <w:color w:val="3370ff"/>
      </w:rPr>
    </w:lvl>
  </w:abstractNum>
  <w:abstractNum w:abstractNumId="2902426">
    <w:lvl>
      <w:numFmt w:val="bullet"/>
      <w:suff w:val="tab"/>
      <w:lvlText w:val="•"/>
      <w:rPr>
        <w:color w:val="3370ff"/>
      </w:rPr>
    </w:lvl>
  </w:abstractNum>
  <w:abstractNum w:abstractNumId="2902427">
    <w:lvl>
      <w:numFmt w:val="bullet"/>
      <w:suff w:val="tab"/>
      <w:lvlText w:val="•"/>
      <w:rPr>
        <w:color w:val="3370ff"/>
      </w:rPr>
    </w:lvl>
  </w:abstractNum>
  <w:abstractNum w:abstractNumId="2902428">
    <w:lvl>
      <w:numFmt w:val="bullet"/>
      <w:suff w:val="tab"/>
      <w:lvlText w:val="•"/>
      <w:rPr>
        <w:color w:val="3370ff"/>
      </w:rPr>
    </w:lvl>
  </w:abstractNum>
  <w:abstractNum w:abstractNumId="2902429">
    <w:lvl>
      <w:numFmt w:val="bullet"/>
      <w:suff w:val="tab"/>
      <w:lvlText w:val="•"/>
      <w:rPr>
        <w:color w:val="3370ff"/>
      </w:rPr>
    </w:lvl>
  </w:abstractNum>
  <w:abstractNum w:abstractNumId="2902430">
    <w:lvl>
      <w:numFmt w:val="bullet"/>
      <w:suff w:val="tab"/>
      <w:lvlText w:val="•"/>
      <w:rPr>
        <w:color w:val="3370ff"/>
      </w:rPr>
    </w:lvl>
  </w:abstractNum>
  <w:abstractNum w:abstractNumId="2902431">
    <w:lvl>
      <w:numFmt w:val="bullet"/>
      <w:suff w:val="tab"/>
      <w:lvlText w:val="•"/>
      <w:rPr>
        <w:color w:val="3370ff"/>
      </w:rPr>
    </w:lvl>
  </w:abstractNum>
  <w:abstractNum w:abstractNumId="2902432">
    <w:lvl>
      <w:numFmt w:val="bullet"/>
      <w:suff w:val="tab"/>
      <w:lvlText w:val="•"/>
      <w:rPr>
        <w:color w:val="3370ff"/>
      </w:rPr>
    </w:lvl>
  </w:abstractNum>
  <w:abstractNum w:abstractNumId="2902433">
    <w:lvl>
      <w:numFmt w:val="bullet"/>
      <w:suff w:val="tab"/>
      <w:lvlText w:val="•"/>
      <w:rPr>
        <w:color w:val="3370ff"/>
      </w:rPr>
    </w:lvl>
  </w:abstractNum>
  <w:abstractNum w:abstractNumId="2902434">
    <w:lvl>
      <w:numFmt w:val="bullet"/>
      <w:suff w:val="tab"/>
      <w:lvlText w:val="•"/>
      <w:rPr>
        <w:color w:val="3370ff"/>
      </w:rPr>
    </w:lvl>
  </w:abstractNum>
  <w:abstractNum w:abstractNumId="2902435">
    <w:lvl>
      <w:numFmt w:val="bullet"/>
      <w:suff w:val="tab"/>
      <w:lvlText w:val="•"/>
      <w:rPr>
        <w:color w:val="3370ff"/>
      </w:rPr>
    </w:lvl>
  </w:abstractNum>
  <w:abstractNum w:abstractNumId="2902436">
    <w:lvl>
      <w:numFmt w:val="bullet"/>
      <w:suff w:val="tab"/>
      <w:lvlText w:val="•"/>
      <w:rPr>
        <w:color w:val="3370ff"/>
      </w:rPr>
    </w:lvl>
  </w:abstractNum>
  <w:abstractNum w:abstractNumId="2902437">
    <w:lvl>
      <w:numFmt w:val="bullet"/>
      <w:suff w:val="tab"/>
      <w:lvlText w:val="•"/>
      <w:rPr>
        <w:color w:val="3370ff"/>
      </w:rPr>
    </w:lvl>
  </w:abstractNum>
  <w:abstractNum w:abstractNumId="2902438">
    <w:lvl>
      <w:numFmt w:val="bullet"/>
      <w:suff w:val="tab"/>
      <w:lvlText w:val="•"/>
      <w:rPr>
        <w:color w:val="3370ff"/>
      </w:rPr>
    </w:lvl>
  </w:abstractNum>
  <w:abstractNum w:abstractNumId="2902439">
    <w:lvl>
      <w:numFmt w:val="bullet"/>
      <w:suff w:val="tab"/>
      <w:lvlText w:val="•"/>
      <w:rPr>
        <w:color w:val="3370ff"/>
      </w:rPr>
    </w:lvl>
  </w:abstractNum>
  <w:abstractNum w:abstractNumId="2902440">
    <w:lvl>
      <w:numFmt w:val="bullet"/>
      <w:suff w:val="tab"/>
      <w:lvlText w:val="•"/>
      <w:rPr>
        <w:color w:val="3370ff"/>
      </w:rPr>
    </w:lvl>
  </w:abstractNum>
  <w:abstractNum w:abstractNumId="2902441">
    <w:lvl>
      <w:numFmt w:val="bullet"/>
      <w:suff w:val="tab"/>
      <w:lvlText w:val="•"/>
      <w:rPr>
        <w:color w:val="3370ff"/>
      </w:rPr>
    </w:lvl>
  </w:abstractNum>
  <w:abstractNum w:abstractNumId="2902442">
    <w:lvl>
      <w:numFmt w:val="bullet"/>
      <w:suff w:val="tab"/>
      <w:lvlText w:val="•"/>
      <w:rPr>
        <w:color w:val="3370ff"/>
      </w:rPr>
    </w:lvl>
  </w:abstractNum>
  <w:abstractNum w:abstractNumId="2902443">
    <w:lvl>
      <w:numFmt w:val="bullet"/>
      <w:suff w:val="tab"/>
      <w:lvlText w:val="•"/>
      <w:rPr>
        <w:color w:val="3370ff"/>
      </w:rPr>
    </w:lvl>
  </w:abstractNum>
  <w:abstractNum w:abstractNumId="2902444">
    <w:lvl>
      <w:numFmt w:val="bullet"/>
      <w:suff w:val="tab"/>
      <w:lvlText w:val="•"/>
      <w:rPr>
        <w:color w:val="3370ff"/>
      </w:rPr>
    </w:lvl>
  </w:abstractNum>
  <w:abstractNum w:abstractNumId="2902445">
    <w:lvl>
      <w:numFmt w:val="bullet"/>
      <w:suff w:val="tab"/>
      <w:lvlText w:val="•"/>
      <w:rPr>
        <w:color w:val="3370ff"/>
      </w:rPr>
    </w:lvl>
  </w:abstractNum>
  <w:abstractNum w:abstractNumId="2902446">
    <w:lvl>
      <w:start w:val="1"/>
      <w:numFmt w:val="decimal"/>
      <w:suff w:val="tab"/>
      <w:lvlText w:val="%1."/>
      <w:rPr>
        <w:color w:val="3370ff"/>
      </w:rPr>
    </w:lvl>
  </w:abstractNum>
  <w:abstractNum w:abstractNumId="2902447">
    <w:lvl>
      <w:start w:val="2"/>
      <w:numFmt w:val="decimal"/>
      <w:suff w:val="tab"/>
      <w:lvlText w:val="%1."/>
      <w:rPr>
        <w:color w:val="3370ff"/>
      </w:rPr>
    </w:lvl>
  </w:abstractNum>
  <w:abstractNum w:abstractNumId="2902448">
    <w:lvl>
      <w:start w:val="3"/>
      <w:numFmt w:val="decimal"/>
      <w:suff w:val="tab"/>
      <w:lvlText w:val="%1."/>
      <w:rPr>
        <w:color w:val="3370ff"/>
      </w:rPr>
    </w:lvl>
  </w:abstractNum>
  <w:abstractNum w:abstractNumId="2902449">
    <w:lvl>
      <w:start w:val="4"/>
      <w:numFmt w:val="decimal"/>
      <w:suff w:val="tab"/>
      <w:lvlText w:val="%1."/>
      <w:rPr>
        <w:color w:val="3370ff"/>
      </w:rPr>
    </w:lvl>
  </w:abstractNum>
  <w:abstractNum w:abstractNumId="2902450">
    <w:lvl>
      <w:start w:val="5"/>
      <w:numFmt w:val="decimal"/>
      <w:suff w:val="tab"/>
      <w:lvlText w:val="%1."/>
      <w:rPr>
        <w:color w:val="3370ff"/>
      </w:rPr>
    </w:lvl>
  </w:abstractNum>
  <w:abstractNum w:abstractNumId="2902451">
    <w:lvl>
      <w:start w:val="6"/>
      <w:numFmt w:val="decimal"/>
      <w:suff w:val="tab"/>
      <w:lvlText w:val="%1."/>
      <w:rPr>
        <w:color w:val="3370ff"/>
      </w:rPr>
    </w:lvl>
  </w:abstractNum>
  <w:abstractNum w:abstractNumId="2902452">
    <w:lvl>
      <w:start w:val="7"/>
      <w:numFmt w:val="decimal"/>
      <w:suff w:val="tab"/>
      <w:lvlText w:val="%1."/>
      <w:rPr>
        <w:color w:val="3370ff"/>
      </w:rPr>
    </w:lvl>
  </w:abstractNum>
  <w:abstractNum w:abstractNumId="2902453">
    <w:lvl>
      <w:numFmt w:val="bullet"/>
      <w:suff w:val="tab"/>
      <w:lvlText w:val="•"/>
      <w:rPr>
        <w:color w:val="3370ff"/>
      </w:rPr>
    </w:lvl>
  </w:abstractNum>
  <w:abstractNum w:abstractNumId="2902454">
    <w:lvl>
      <w:numFmt w:val="bullet"/>
      <w:suff w:val="tab"/>
      <w:lvlText w:val="•"/>
      <w:rPr>
        <w:color w:val="3370ff"/>
      </w:rPr>
    </w:lvl>
  </w:abstractNum>
  <w:abstractNum w:abstractNumId="2902455">
    <w:lvl>
      <w:numFmt w:val="bullet"/>
      <w:suff w:val="tab"/>
      <w:lvlText w:val="•"/>
      <w:rPr>
        <w:color w:val="3370ff"/>
      </w:rPr>
    </w:lvl>
  </w:abstractNum>
  <w:num w:numId="1">
    <w:abstractNumId w:val="2902381"/>
  </w:num>
  <w:num w:numId="2">
    <w:abstractNumId w:val="2902382"/>
  </w:num>
  <w:num w:numId="3">
    <w:abstractNumId w:val="2902383"/>
  </w:num>
  <w:num w:numId="4">
    <w:abstractNumId w:val="2902384"/>
  </w:num>
  <w:num w:numId="5">
    <w:abstractNumId w:val="2902385"/>
  </w:num>
  <w:num w:numId="6">
    <w:abstractNumId w:val="2902386"/>
  </w:num>
  <w:num w:numId="7">
    <w:abstractNumId w:val="2902387"/>
  </w:num>
  <w:num w:numId="8">
    <w:abstractNumId w:val="2902388"/>
  </w:num>
  <w:num w:numId="9">
    <w:abstractNumId w:val="2902389"/>
  </w:num>
  <w:num w:numId="10">
    <w:abstractNumId w:val="2902390"/>
  </w:num>
  <w:num w:numId="11">
    <w:abstractNumId w:val="2902391"/>
  </w:num>
  <w:num w:numId="12">
    <w:abstractNumId w:val="2902392"/>
  </w:num>
  <w:num w:numId="13">
    <w:abstractNumId w:val="2902393"/>
  </w:num>
  <w:num w:numId="14">
    <w:abstractNumId w:val="2902394"/>
  </w:num>
  <w:num w:numId="15">
    <w:abstractNumId w:val="2902395"/>
  </w:num>
  <w:num w:numId="16">
    <w:abstractNumId w:val="2902396"/>
  </w:num>
  <w:num w:numId="17">
    <w:abstractNumId w:val="2902397"/>
  </w:num>
  <w:num w:numId="18">
    <w:abstractNumId w:val="2902398"/>
  </w:num>
  <w:num w:numId="19">
    <w:abstractNumId w:val="2902399"/>
  </w:num>
  <w:num w:numId="20">
    <w:abstractNumId w:val="2902400"/>
  </w:num>
  <w:num w:numId="21">
    <w:abstractNumId w:val="2902401"/>
  </w:num>
  <w:num w:numId="22">
    <w:abstractNumId w:val="2902402"/>
  </w:num>
  <w:num w:numId="23">
    <w:abstractNumId w:val="2902403"/>
  </w:num>
  <w:num w:numId="24">
    <w:abstractNumId w:val="2902404"/>
  </w:num>
  <w:num w:numId="25">
    <w:abstractNumId w:val="2902405"/>
  </w:num>
  <w:num w:numId="26">
    <w:abstractNumId w:val="2902406"/>
  </w:num>
  <w:num w:numId="27">
    <w:abstractNumId w:val="2902407"/>
  </w:num>
  <w:num w:numId="28">
    <w:abstractNumId w:val="2902408"/>
  </w:num>
  <w:num w:numId="29">
    <w:abstractNumId w:val="2902409"/>
  </w:num>
  <w:num w:numId="30">
    <w:abstractNumId w:val="2902410"/>
  </w:num>
  <w:num w:numId="31">
    <w:abstractNumId w:val="2902411"/>
  </w:num>
  <w:num w:numId="32">
    <w:abstractNumId w:val="2902412"/>
  </w:num>
  <w:num w:numId="33">
    <w:abstractNumId w:val="2902413"/>
  </w:num>
  <w:num w:numId="34">
    <w:abstractNumId w:val="2902414"/>
  </w:num>
  <w:num w:numId="35">
    <w:abstractNumId w:val="2902415"/>
  </w:num>
  <w:num w:numId="36">
    <w:abstractNumId w:val="2902416"/>
  </w:num>
  <w:num w:numId="37">
    <w:abstractNumId w:val="2902417"/>
  </w:num>
  <w:num w:numId="38">
    <w:abstractNumId w:val="2902418"/>
  </w:num>
  <w:num w:numId="39">
    <w:abstractNumId w:val="2902419"/>
  </w:num>
  <w:num w:numId="40">
    <w:abstractNumId w:val="2902420"/>
  </w:num>
  <w:num w:numId="41">
    <w:abstractNumId w:val="2902421"/>
  </w:num>
  <w:num w:numId="42">
    <w:abstractNumId w:val="2902422"/>
  </w:num>
  <w:num w:numId="43">
    <w:abstractNumId w:val="2902423"/>
  </w:num>
  <w:num w:numId="44">
    <w:abstractNumId w:val="2902424"/>
  </w:num>
  <w:num w:numId="45">
    <w:abstractNumId w:val="2902425"/>
  </w:num>
  <w:num w:numId="46">
    <w:abstractNumId w:val="2902426"/>
  </w:num>
  <w:num w:numId="47">
    <w:abstractNumId w:val="2902427"/>
  </w:num>
  <w:num w:numId="48">
    <w:abstractNumId w:val="2902428"/>
  </w:num>
  <w:num w:numId="49">
    <w:abstractNumId w:val="2902429"/>
  </w:num>
  <w:num w:numId="50">
    <w:abstractNumId w:val="2902430"/>
  </w:num>
  <w:num w:numId="51">
    <w:abstractNumId w:val="2902431"/>
  </w:num>
  <w:num w:numId="52">
    <w:abstractNumId w:val="2902432"/>
  </w:num>
  <w:num w:numId="53">
    <w:abstractNumId w:val="2902433"/>
  </w:num>
  <w:num w:numId="54">
    <w:abstractNumId w:val="2902434"/>
  </w:num>
  <w:num w:numId="55">
    <w:abstractNumId w:val="2902435"/>
  </w:num>
  <w:num w:numId="56">
    <w:abstractNumId w:val="2902436"/>
  </w:num>
  <w:num w:numId="57">
    <w:abstractNumId w:val="2902437"/>
  </w:num>
  <w:num w:numId="58">
    <w:abstractNumId w:val="2902438"/>
  </w:num>
  <w:num w:numId="59">
    <w:abstractNumId w:val="2902439"/>
  </w:num>
  <w:num w:numId="60">
    <w:abstractNumId w:val="2902440"/>
  </w:num>
  <w:num w:numId="61">
    <w:abstractNumId w:val="2902441"/>
  </w:num>
  <w:num w:numId="62">
    <w:abstractNumId w:val="2902442"/>
  </w:num>
  <w:num w:numId="63">
    <w:abstractNumId w:val="2902443"/>
  </w:num>
  <w:num w:numId="64">
    <w:abstractNumId w:val="2902444"/>
  </w:num>
  <w:num w:numId="65">
    <w:abstractNumId w:val="2902445"/>
  </w:num>
  <w:num w:numId="66">
    <w:abstractNumId w:val="2902446"/>
  </w:num>
  <w:num w:numId="67">
    <w:abstractNumId w:val="2902447"/>
  </w:num>
  <w:num w:numId="68">
    <w:abstractNumId w:val="2902448"/>
  </w:num>
  <w:num w:numId="69">
    <w:abstractNumId w:val="2902449"/>
  </w:num>
  <w:num w:numId="70">
    <w:abstractNumId w:val="2902450"/>
  </w:num>
  <w:num w:numId="71">
    <w:abstractNumId w:val="2902451"/>
  </w:num>
  <w:num w:numId="72">
    <w:abstractNumId w:val="2902452"/>
  </w:num>
  <w:num w:numId="73">
    <w:abstractNumId w:val="2902453"/>
  </w:num>
  <w:num w:numId="74">
    <w:abstractNumId w:val="2902454"/>
  </w:num>
  <w:num w:numId="75">
    <w:abstractNumId w:val="2902455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2026-02-14T08:32:25Z</dcterms:created>
  <dc:creator>Apache POI</dc:creator>
</cp:coreProperties>
</file>