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B7285">
      <w:pPr>
        <w:spacing w:before="480" w:after="480" w:line="288" w:lineRule="auto"/>
        <w:ind w:left="0"/>
      </w:pPr>
      <w:bookmarkStart w:id="26" w:name="_GoBack"/>
      <w:bookmarkEnd w:id="26"/>
      <w:r>
        <w:rPr>
          <w:rFonts w:ascii="Arial" w:hAnsi="Arial" w:eastAsia="等线" w:cs="Arial"/>
          <w:b/>
          <w:sz w:val="52"/>
        </w:rPr>
        <w:t>NAC 原生公链 XTZH 之 RWA 资产铸造细则</w:t>
      </w:r>
    </w:p>
    <w:p w14:paraId="269F070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序章：铸造体系的宪法地位与双重锚定哲学</w:t>
      </w:r>
      <w:bookmarkEnd w:id="0"/>
    </w:p>
    <w:p w14:paraId="2AD8F760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0.1 铸造的宪法定义</w:t>
      </w:r>
      <w:bookmarkEnd w:id="1"/>
    </w:p>
    <w:p w14:paraId="51E9E5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XTZH铸造是NAC公链价值创造的核心宪法行为，其本质是</w:t>
      </w:r>
      <w:r>
        <w:rPr>
          <w:rFonts w:ascii="Arial" w:hAnsi="Arial" w:eastAsia="等线" w:cs="Arial"/>
          <w:b/>
          <w:sz w:val="22"/>
        </w:rPr>
        <w:t>将链下真实资产的可信价值，通过严谨的链上程序，映射为具备双重锚定保障的链上法币</w:t>
      </w:r>
      <w:r>
        <w:rPr>
          <w:rFonts w:ascii="Arial" w:hAnsi="Arial" w:eastAsia="等线" w:cs="Arial"/>
          <w:sz w:val="22"/>
        </w:rPr>
        <w:t>。每一枚XTZH的铸造都必须遵循以下不可违背的宪法原则：</w:t>
      </w:r>
    </w:p>
    <w:p w14:paraId="54385B4F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真实资产背书原则</w:t>
      </w:r>
      <w:r>
        <w:rPr>
          <w:rFonts w:ascii="Arial" w:hAnsi="Arial" w:eastAsia="等线" w:cs="Arial"/>
          <w:sz w:val="22"/>
        </w:rPr>
        <w:t>：每一枚XTZH必须与经AI估值系统确认公允价值的特定RWA资产或合格跨链资产1:1锚定。</w:t>
      </w:r>
    </w:p>
    <w:p w14:paraId="1411B1B8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黄金终极储备原则</w:t>
      </w:r>
      <w:r>
        <w:rPr>
          <w:rFonts w:ascii="Arial" w:hAnsi="Arial" w:eastAsia="等线" w:cs="Arial"/>
          <w:sz w:val="22"/>
        </w:rPr>
        <w:t>：每铸造1枚XTZH，系统必须同步建立价值1.25XTZH的黄金永续合约储备，作为XTZH价值的最终稳定器和兑付保障。</w:t>
      </w:r>
    </w:p>
    <w:p w14:paraId="0AF5D47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合规能耗闭环原则</w:t>
      </w:r>
      <w:r>
        <w:rPr>
          <w:rFonts w:ascii="Arial" w:hAnsi="Arial" w:eastAsia="等线" w:cs="Arial"/>
          <w:sz w:val="22"/>
        </w:rPr>
        <w:t>：铸造全流程必须通过AI合规引擎的七层检查，并消耗XIC作为AI算力与安全验证的能量成本。</w:t>
      </w:r>
    </w:p>
    <w:p w14:paraId="1A05E054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主权不可分割原则</w:t>
      </w:r>
      <w:r>
        <w:rPr>
          <w:rFonts w:ascii="Arial" w:hAnsi="Arial" w:eastAsia="等线" w:cs="Arial"/>
          <w:sz w:val="22"/>
        </w:rPr>
        <w:t>：铸造生成的XTZH，其初始所有权必须与通过KYC验证的OwnerDID精确绑定，确保数字主权从铸造起点即清晰明确。</w:t>
      </w:r>
    </w:p>
    <w:p w14:paraId="2D1CFCCD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0.2 双重价值锚定模型</w:t>
      </w:r>
      <w:bookmarkEnd w:id="2"/>
    </w:p>
    <w:p w14:paraId="05CF06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XTZH的价值由双重、递进的锚定体系保障：</w:t>
      </w:r>
    </w:p>
    <w:p w14:paraId="09413EC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一级锚定（直接背书）</w:t>
      </w:r>
      <w:r>
        <w:rPr>
          <w:rFonts w:ascii="Arial" w:hAnsi="Arial" w:eastAsia="等线" w:cs="Arial"/>
          <w:sz w:val="22"/>
        </w:rPr>
        <w:t>：XTZH发行时对应的特定RWA资产或合格跨链资产的价值（</w:t>
      </w:r>
      <w:r>
        <w:rPr>
          <w:rFonts w:ascii="Consolas" w:hAnsi="Consolas" w:eastAsia="Consolas" w:cs="Consolas"/>
          <w:sz w:val="22"/>
          <w:shd w:val="clear" w:fill="EFF0F1"/>
        </w:rPr>
        <w:t>V_asset</w:t>
      </w:r>
      <w:r>
        <w:rPr>
          <w:rFonts w:ascii="Arial" w:hAnsi="Arial" w:eastAsia="等线" w:cs="Arial"/>
          <w:sz w:val="22"/>
        </w:rPr>
        <w:t>）。</w:t>
      </w:r>
    </w:p>
    <w:p w14:paraId="71285018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二级锚定（终极储备）</w:t>
      </w:r>
      <w:r>
        <w:rPr>
          <w:rFonts w:ascii="Arial" w:hAnsi="Arial" w:eastAsia="等线" w:cs="Arial"/>
          <w:sz w:val="22"/>
        </w:rPr>
        <w:t>：系统为每枚XTZH持有的超额黄金永续合约储备（</w:t>
      </w:r>
      <w:r>
        <w:rPr>
          <w:rFonts w:ascii="Consolas" w:hAnsi="Consolas" w:eastAsia="Consolas" w:cs="Consolas"/>
          <w:sz w:val="22"/>
          <w:shd w:val="clear" w:fill="EFF0F1"/>
        </w:rPr>
        <w:t>G_reserve = 1.25 * V_asset</w:t>
      </w:r>
      <w:r>
        <w:rPr>
          <w:rFonts w:ascii="Arial" w:hAnsi="Arial" w:eastAsia="等线" w:cs="Arial"/>
          <w:sz w:val="22"/>
        </w:rPr>
        <w:t>）。</w:t>
      </w:r>
    </w:p>
    <w:p w14:paraId="1CE028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当一级锚定资产市场价值波动时，二级黄金储备提供缓冲和终极兑付能力，确保XTZH价格的宏观稳定。</w:t>
      </w:r>
    </w:p>
    <w:p w14:paraId="54BE43CB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AD4D97B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第一章：RWA资产铸造XTZH细则</w:t>
      </w:r>
      <w:bookmarkEnd w:id="3"/>
    </w:p>
    <w:p w14:paraId="1E5E213D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1.1 铸造资格与前置条件</w:t>
      </w:r>
      <w:bookmarkEnd w:id="4"/>
    </w:p>
    <w:p w14:paraId="492E0841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资产资格</w:t>
      </w:r>
      <w:r>
        <w:rPr>
          <w:rFonts w:ascii="Arial" w:hAnsi="Arial" w:eastAsia="等线" w:cs="Arial"/>
          <w:sz w:val="22"/>
        </w:rPr>
        <w:t>：必须是依据《GNACS Pro》标准可分类，并通过《资产上链综合法典》规定的</w:t>
      </w:r>
      <w:r>
        <w:rPr>
          <w:rFonts w:ascii="Arial" w:hAnsi="Arial" w:eastAsia="等线" w:cs="Arial"/>
          <w:b/>
          <w:sz w:val="22"/>
        </w:rPr>
        <w:t>全流程十三步闭环</w:t>
      </w:r>
      <w:r>
        <w:rPr>
          <w:rFonts w:ascii="Arial" w:hAnsi="Arial" w:eastAsia="等线" w:cs="Arial"/>
          <w:sz w:val="22"/>
        </w:rPr>
        <w:t>，已完成“确权与DNA生成”（第六步）的RWA资产。资产状态必须为</w:t>
      </w:r>
      <w:r>
        <w:rPr>
          <w:rFonts w:ascii="Consolas" w:hAnsi="Consolas" w:eastAsia="Consolas" w:cs="Consolas"/>
          <w:sz w:val="22"/>
          <w:shd w:val="clear" w:fill="EFF0F1"/>
        </w:rPr>
        <w:t>已确权</w:t>
      </w:r>
      <w:r>
        <w:rPr>
          <w:rFonts w:ascii="Arial" w:hAnsi="Arial" w:eastAsia="等线" w:cs="Arial"/>
          <w:sz w:val="22"/>
        </w:rPr>
        <w:t>或</w:t>
      </w:r>
      <w:r>
        <w:rPr>
          <w:rFonts w:ascii="Consolas" w:hAnsi="Consolas" w:eastAsia="Consolas" w:cs="Consolas"/>
          <w:sz w:val="22"/>
          <w:shd w:val="clear" w:fill="EFF0F1"/>
        </w:rPr>
        <w:t>已托管</w:t>
      </w:r>
      <w:r>
        <w:rPr>
          <w:rFonts w:ascii="Arial" w:hAnsi="Arial" w:eastAsia="等线" w:cs="Arial"/>
          <w:sz w:val="22"/>
        </w:rPr>
        <w:t>。</w:t>
      </w:r>
    </w:p>
    <w:p w14:paraId="338F1E90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所有者资格</w:t>
      </w:r>
      <w:r>
        <w:rPr>
          <w:rFonts w:ascii="Arial" w:hAnsi="Arial" w:eastAsia="等线" w:cs="Arial"/>
          <w:sz w:val="22"/>
        </w:rPr>
        <w:t>：资产关联的OwnerDID必须完成不低于</w:t>
      </w:r>
      <w:r>
        <w:rPr>
          <w:rFonts w:ascii="Arial" w:hAnsi="Arial" w:eastAsia="等线" w:cs="Arial"/>
          <w:b/>
          <w:sz w:val="22"/>
        </w:rPr>
        <w:t>KYC 2级（已验证个人）</w:t>
      </w:r>
      <w:r>
        <w:rPr>
          <w:rFonts w:ascii="Arial" w:hAnsi="Arial" w:eastAsia="等线" w:cs="Arial"/>
          <w:sz w:val="22"/>
        </w:rPr>
        <w:t xml:space="preserve"> 或 </w:t>
      </w:r>
      <w:r>
        <w:rPr>
          <w:rFonts w:ascii="Arial" w:hAnsi="Arial" w:eastAsia="等线" w:cs="Arial"/>
          <w:b/>
          <w:sz w:val="22"/>
        </w:rPr>
        <w:t>KYC 3级（机构）</w:t>
      </w:r>
      <w:r>
        <w:rPr>
          <w:rFonts w:ascii="Arial" w:hAnsi="Arial" w:eastAsia="等线" w:cs="Arial"/>
          <w:sz w:val="22"/>
        </w:rPr>
        <w:t xml:space="preserve"> 验证。</w:t>
      </w:r>
    </w:p>
    <w:p w14:paraId="4F2D7F1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合规状态</w:t>
      </w:r>
      <w:r>
        <w:rPr>
          <w:rFonts w:ascii="Arial" w:hAnsi="Arial" w:eastAsia="等线" w:cs="Arial"/>
          <w:sz w:val="22"/>
        </w:rPr>
        <w:t>：资产的合规掩码（Compliance Mask）必须为“全绿”（即七层检查全部通过），且合规评分 ≥ 85分。</w:t>
      </w:r>
    </w:p>
    <w:p w14:paraId="09AE51A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能耗准备金</w:t>
      </w:r>
      <w:r>
        <w:rPr>
          <w:rFonts w:ascii="Arial" w:hAnsi="Arial" w:eastAsia="等线" w:cs="Arial"/>
          <w:sz w:val="22"/>
        </w:rPr>
        <w:t>：铸造发起方的关联地址必须持有足够支付本次铸造预估能耗的XIC，该XIC将被临时冻结。</w:t>
      </w:r>
    </w:p>
    <w:p w14:paraId="5443FCA4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1.2 铸造流程（七步精炼）</w:t>
      </w:r>
      <w:bookmarkEnd w:id="5"/>
    </w:p>
    <w:p w14:paraId="2FC828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第一步：铸造申请与参数确认</w:t>
      </w:r>
    </w:p>
    <w:p w14:paraId="14964B30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所有者通过智能合约接口发起铸造申请，指定要铸造的资产DNA_Hash。</w:t>
      </w:r>
    </w:p>
    <w:p w14:paraId="7F21A8FC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系统自动读取并展示：资产公允价值（</w:t>
      </w:r>
      <w:r>
        <w:rPr>
          <w:rFonts w:ascii="Consolas" w:hAnsi="Consolas" w:eastAsia="Consolas" w:cs="Consolas"/>
          <w:sz w:val="22"/>
          <w:shd w:val="clear" w:fill="EFF0F1"/>
        </w:rPr>
        <w:t>V_xtzh</w:t>
      </w:r>
      <w:r>
        <w:rPr>
          <w:rFonts w:ascii="Arial" w:hAnsi="Arial" w:eastAsia="等线" w:cs="Arial"/>
          <w:sz w:val="22"/>
        </w:rPr>
        <w:t>，单位：XTZH个数）、动态质押率（</w:t>
      </w:r>
      <w:r>
        <w:rPr>
          <w:rFonts w:ascii="Consolas" w:hAnsi="Consolas" w:eastAsia="Consolas" w:cs="Consolas"/>
          <w:sz w:val="22"/>
          <w:shd w:val="clear" w:fill="EFF0F1"/>
        </w:rPr>
        <w:t>L</w:t>
      </w:r>
      <w:r>
        <w:rPr>
          <w:rFonts w:ascii="Arial" w:hAnsi="Arial" w:eastAsia="等线" w:cs="Arial"/>
          <w:sz w:val="22"/>
        </w:rPr>
        <w:t>）、最大可铸造额（</w:t>
      </w:r>
      <w:r>
        <w:rPr>
          <w:rFonts w:ascii="Consolas" w:hAnsi="Consolas" w:eastAsia="Consolas" w:cs="Consolas"/>
          <w:sz w:val="22"/>
          <w:shd w:val="clear" w:fill="EFF0F1"/>
        </w:rPr>
        <w:t>M_max = V_xtzh * L</w:t>
      </w:r>
      <w:r>
        <w:rPr>
          <w:rFonts w:ascii="Arial" w:hAnsi="Arial" w:eastAsia="等线" w:cs="Arial"/>
          <w:sz w:val="22"/>
        </w:rPr>
        <w:t>）。</w:t>
      </w:r>
    </w:p>
    <w:p w14:paraId="3F5DB2A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所有者输入申请铸造数量 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 xml:space="preserve">（≤ </w:t>
      </w:r>
      <w:r>
        <w:rPr>
          <w:rFonts w:ascii="Consolas" w:hAnsi="Consolas" w:eastAsia="Consolas" w:cs="Consolas"/>
          <w:sz w:val="22"/>
          <w:shd w:val="clear" w:fill="EFF0F1"/>
        </w:rPr>
        <w:t>M_max</w:t>
      </w:r>
      <w:r>
        <w:rPr>
          <w:rFonts w:ascii="Arial" w:hAnsi="Arial" w:eastAsia="等线" w:cs="Arial"/>
          <w:sz w:val="22"/>
        </w:rPr>
        <w:t>）。</w:t>
      </w:r>
    </w:p>
    <w:p w14:paraId="661D2C0E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系统计算并展示：所需黄金储备价值（</w:t>
      </w:r>
      <w:r>
        <w:rPr>
          <w:rFonts w:ascii="Consolas" w:hAnsi="Consolas" w:eastAsia="Consolas" w:cs="Consolas"/>
          <w:sz w:val="22"/>
          <w:shd w:val="clear" w:fill="EFF0F1"/>
        </w:rPr>
        <w:t>G_value_usd = M_request * P_xtzh_usd * 1.25</w:t>
      </w:r>
      <w:r>
        <w:rPr>
          <w:rFonts w:ascii="Arial" w:hAnsi="Arial" w:eastAsia="等线" w:cs="Arial"/>
          <w:sz w:val="22"/>
        </w:rPr>
        <w:t>）、预估XIC能耗费用。</w:t>
      </w:r>
    </w:p>
    <w:p w14:paraId="6AD8F0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第二步：实时风险与市场审查</w:t>
      </w:r>
    </w:p>
    <w:p w14:paraId="5D46E67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系统启动实时审查：</w:t>
      </w:r>
    </w:p>
    <w:p w14:paraId="7271C7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a. </w:t>
      </w:r>
      <w:r>
        <w:rPr>
          <w:rFonts w:ascii="Arial" w:hAnsi="Arial" w:eastAsia="等线" w:cs="Arial"/>
          <w:b/>
          <w:sz w:val="22"/>
        </w:rPr>
        <w:t>资产健康度</w:t>
      </w:r>
      <w:r>
        <w:rPr>
          <w:rFonts w:ascii="Arial" w:hAnsi="Arial" w:eastAsia="等线" w:cs="Arial"/>
          <w:sz w:val="22"/>
        </w:rPr>
        <w:t>：检查资产是否有未结清债务、是否被冻结。</w:t>
      </w:r>
    </w:p>
    <w:p w14:paraId="30FFF7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b. </w:t>
      </w:r>
      <w:r>
        <w:rPr>
          <w:rFonts w:ascii="Arial" w:hAnsi="Arial" w:eastAsia="等线" w:cs="Arial"/>
          <w:b/>
          <w:sz w:val="22"/>
        </w:rPr>
        <w:t>市场波动</w:t>
      </w:r>
      <w:r>
        <w:rPr>
          <w:rFonts w:ascii="Arial" w:hAnsi="Arial" w:eastAsia="等线" w:cs="Arial"/>
          <w:sz w:val="22"/>
        </w:rPr>
        <w:t>：若该资产类别（GNACS大类）过去24小时波动率 &gt; 15%，触发预警，需所有者二次确认。</w:t>
      </w:r>
    </w:p>
    <w:p w14:paraId="591EDF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c. </w:t>
      </w:r>
      <w:r>
        <w:rPr>
          <w:rFonts w:ascii="Arial" w:hAnsi="Arial" w:eastAsia="等线" w:cs="Arial"/>
          <w:b/>
          <w:sz w:val="22"/>
        </w:rPr>
        <w:t>系统健康度</w:t>
      </w:r>
      <w:r>
        <w:rPr>
          <w:rFonts w:ascii="Arial" w:hAnsi="Arial" w:eastAsia="等线" w:cs="Arial"/>
          <w:sz w:val="22"/>
        </w:rPr>
        <w:t>：检查当前系统总质押率、黄金储备覆盖率（GCR），若&lt; 1.05，系统有权延迟或拒绝大规模铸造。</w:t>
      </w:r>
    </w:p>
    <w:p w14:paraId="4DBFBD6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审查通过，进入智能合约执行队列。</w:t>
      </w:r>
    </w:p>
    <w:p w14:paraId="72B4A9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第三步：黄金储备联动预操作</w:t>
      </w:r>
    </w:p>
    <w:p w14:paraId="5D0346CA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储备预占</w:t>
      </w:r>
      <w:r>
        <w:rPr>
          <w:rFonts w:ascii="Arial" w:hAnsi="Arial" w:eastAsia="等线" w:cs="Arial"/>
          <w:sz w:val="22"/>
        </w:rPr>
        <w:t xml:space="preserve">：智能合约向黄金储备管理系统发送指令，预占价值为 </w:t>
      </w:r>
      <w:r>
        <w:rPr>
          <w:rFonts w:ascii="Consolas" w:hAnsi="Consolas" w:eastAsia="Consolas" w:cs="Consolas"/>
          <w:sz w:val="22"/>
          <w:shd w:val="clear" w:fill="EFF0F1"/>
        </w:rPr>
        <w:t>G_value_usd</w:t>
      </w:r>
      <w:r>
        <w:rPr>
          <w:rFonts w:ascii="Arial" w:hAnsi="Arial" w:eastAsia="等线" w:cs="Arial"/>
          <w:sz w:val="22"/>
        </w:rPr>
        <w:t xml:space="preserve"> 的黄金合约开仓额度。</w:t>
      </w:r>
    </w:p>
    <w:p w14:paraId="5B1DB8F8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资金准备</w:t>
      </w:r>
      <w:r>
        <w:rPr>
          <w:rFonts w:ascii="Arial" w:hAnsi="Arial" w:eastAsia="等线" w:cs="Arial"/>
          <w:sz w:val="22"/>
        </w:rPr>
        <w:t>：从系统风险准备金或专门的流动性池中，划转开仓所需保证金（USD或等值稳定币）至指定的合规经纪商账户。该资金来源于铸造费积累和储备收益。</w:t>
      </w:r>
    </w:p>
    <w:p w14:paraId="6F7007F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返回预操作成功凭证。</w:t>
      </w:r>
    </w:p>
    <w:p w14:paraId="077E64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第四步：XTZH铸造与所有权分配</w:t>
      </w:r>
    </w:p>
    <w:p w14:paraId="6076F4CA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核心铸造</w:t>
      </w:r>
      <w:r>
        <w:rPr>
          <w:rFonts w:ascii="Arial" w:hAnsi="Arial" w:eastAsia="等线" w:cs="Arial"/>
          <w:sz w:val="22"/>
        </w:rPr>
        <w:t xml:space="preserve">：ACC-20协议的核心铸造函数被调用，生成 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 xml:space="preserve"> 数量的全新XTZH。</w:t>
      </w:r>
    </w:p>
    <w:p w14:paraId="4CEF6EA1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所有权绑定</w:t>
      </w:r>
      <w:r>
        <w:rPr>
          <w:rFonts w:ascii="Arial" w:hAnsi="Arial" w:eastAsia="等线" w:cs="Arial"/>
          <w:sz w:val="22"/>
        </w:rPr>
        <w:t>：新铸XTZH的初始所有权被记录为申请铸造的</w:t>
      </w:r>
      <w:r>
        <w:rPr>
          <w:rFonts w:ascii="Arial" w:hAnsi="Arial" w:eastAsia="等线" w:cs="Arial"/>
          <w:b/>
          <w:sz w:val="22"/>
        </w:rPr>
        <w:t>OwnerDID</w:t>
      </w:r>
      <w:r>
        <w:rPr>
          <w:rFonts w:ascii="Arial" w:hAnsi="Arial" w:eastAsia="等线" w:cs="Arial"/>
          <w:sz w:val="22"/>
        </w:rPr>
        <w:t>。</w:t>
      </w:r>
    </w:p>
    <w:p w14:paraId="327226BE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链上记录</w:t>
      </w:r>
      <w:r>
        <w:rPr>
          <w:rFonts w:ascii="Arial" w:hAnsi="Arial" w:eastAsia="等线" w:cs="Arial"/>
          <w:sz w:val="22"/>
        </w:rPr>
        <w:t>：生成铸造事件日志，包含：铸造交易哈希、资产DNA_Hash、铸造数量（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>）、对应黄金储备预占凭证ID、时间戳。</w:t>
      </w:r>
    </w:p>
    <w:p w14:paraId="27EAC7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第五步：黄金储备正式开仓与链上锚定</w:t>
      </w:r>
    </w:p>
    <w:p w14:paraId="6B3B82EA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正式开仓</w:t>
      </w:r>
      <w:r>
        <w:rPr>
          <w:rFonts w:ascii="Arial" w:hAnsi="Arial" w:eastAsia="等线" w:cs="Arial"/>
          <w:sz w:val="22"/>
        </w:rPr>
        <w:t>：收到链上铸造成功凭证后，黄金储备管理系统通过API向预设交易所（CME等）执行黄金永续合约开仓操作。</w:t>
      </w:r>
    </w:p>
    <w:p w14:paraId="4DEEB4C9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锚定记录</w:t>
      </w:r>
      <w:r>
        <w:rPr>
          <w:rFonts w:ascii="Arial" w:hAnsi="Arial" w:eastAsia="等线" w:cs="Arial"/>
          <w:sz w:val="22"/>
        </w:rPr>
        <w:t>：开仓详细信息（交易所、合约代码、开仓价、数量）上链，并与第四步的铸造记录通过</w:t>
      </w:r>
      <w:r>
        <w:rPr>
          <w:rFonts w:ascii="Arial" w:hAnsi="Arial" w:eastAsia="等线" w:cs="Arial"/>
          <w:b/>
          <w:sz w:val="22"/>
        </w:rPr>
        <w:t>储备锚定哈希</w:t>
      </w:r>
      <w:r>
        <w:rPr>
          <w:rFonts w:ascii="Arial" w:hAnsi="Arial" w:eastAsia="等线" w:cs="Arial"/>
          <w:sz w:val="22"/>
        </w:rPr>
        <w:t>绑定。</w:t>
      </w:r>
    </w:p>
    <w:p w14:paraId="61724356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状态更新</w:t>
      </w:r>
      <w:r>
        <w:rPr>
          <w:rFonts w:ascii="Arial" w:hAnsi="Arial" w:eastAsia="等线" w:cs="Arial"/>
          <w:sz w:val="22"/>
        </w:rPr>
        <w:t xml:space="preserve">：该笔黄金储备的状态标记为“活跃-锚定”，关联的XTZH数量为 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>。</w:t>
      </w:r>
    </w:p>
    <w:p w14:paraId="640C80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第六步：资产状态更新与质押登记</w:t>
      </w:r>
    </w:p>
    <w:p w14:paraId="140F758B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资产状态</w:t>
      </w:r>
      <w:r>
        <w:rPr>
          <w:rFonts w:ascii="Arial" w:hAnsi="Arial" w:eastAsia="等线" w:cs="Arial"/>
          <w:sz w:val="22"/>
        </w:rPr>
        <w:t>：被铸造的RWA资产状态更新为</w:t>
      </w:r>
      <w:r>
        <w:rPr>
          <w:rFonts w:ascii="Consolas" w:hAnsi="Consolas" w:eastAsia="Consolas" w:cs="Consolas"/>
          <w:sz w:val="22"/>
          <w:shd w:val="clear" w:fill="EFF0F1"/>
        </w:rPr>
        <w:t>已质押</w:t>
      </w:r>
      <w:r>
        <w:rPr>
          <w:rFonts w:ascii="Arial" w:hAnsi="Arial" w:eastAsia="等线" w:cs="Arial"/>
          <w:sz w:val="22"/>
        </w:rPr>
        <w:t>（若为全额抵押）或</w:t>
      </w:r>
      <w:r>
        <w:rPr>
          <w:rFonts w:ascii="Consolas" w:hAnsi="Consolas" w:eastAsia="Consolas" w:cs="Consolas"/>
          <w:sz w:val="22"/>
          <w:shd w:val="clear" w:fill="EFF0F1"/>
        </w:rPr>
        <w:t>部分质押</w:t>
      </w:r>
      <w:r>
        <w:rPr>
          <w:rFonts w:ascii="Arial" w:hAnsi="Arial" w:eastAsia="等线" w:cs="Arial"/>
          <w:sz w:val="22"/>
        </w:rPr>
        <w:t>。其</w:t>
      </w:r>
      <w:r>
        <w:rPr>
          <w:rFonts w:ascii="Consolas" w:hAnsi="Consolas" w:eastAsia="Consolas" w:cs="Consolas"/>
          <w:sz w:val="22"/>
          <w:shd w:val="clear" w:fill="EFF0F1"/>
        </w:rPr>
        <w:t>MaxPawnAmount</w:t>
      </w:r>
      <w:r>
        <w:rPr>
          <w:rFonts w:ascii="Arial" w:hAnsi="Arial" w:eastAsia="等线" w:cs="Arial"/>
          <w:sz w:val="22"/>
        </w:rPr>
        <w:t>字段相应减少。</w:t>
      </w:r>
    </w:p>
    <w:p w14:paraId="3C9A2515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债务登记</w:t>
      </w:r>
      <w:r>
        <w:rPr>
          <w:rFonts w:ascii="Arial" w:hAnsi="Arial" w:eastAsia="等线" w:cs="Arial"/>
          <w:sz w:val="22"/>
        </w:rPr>
        <w:t xml:space="preserve">：在资产合约中登记一笔债务记录，债务额为 </w:t>
      </w:r>
      <w:r>
        <w:rPr>
          <w:rFonts w:ascii="Consolas" w:hAnsi="Consolas" w:eastAsia="Consolas" w:cs="Consolas"/>
          <w:sz w:val="22"/>
          <w:shd w:val="clear" w:fill="EFF0F1"/>
        </w:rPr>
        <w:t>M_request XTZH</w:t>
      </w:r>
      <w:r>
        <w:rPr>
          <w:rFonts w:ascii="Arial" w:hAnsi="Arial" w:eastAsia="等线" w:cs="Arial"/>
          <w:sz w:val="22"/>
        </w:rPr>
        <w:t>，债权人地址为“XTZH系统储备合约”。</w:t>
      </w:r>
    </w:p>
    <w:p w14:paraId="09EB21E7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质押率计算</w:t>
      </w:r>
      <w:r>
        <w:rPr>
          <w:rFonts w:ascii="Arial" w:hAnsi="Arial" w:eastAsia="等线" w:cs="Arial"/>
          <w:sz w:val="22"/>
        </w:rPr>
        <w:t>：实时计算并更新该资产的</w:t>
      </w:r>
      <w:r>
        <w:rPr>
          <w:rFonts w:ascii="Arial" w:hAnsi="Arial" w:eastAsia="等线" w:cs="Arial"/>
          <w:b/>
          <w:sz w:val="22"/>
        </w:rPr>
        <w:t>健康因子</w:t>
      </w:r>
      <w:r>
        <w:rPr>
          <w:rFonts w:ascii="Arial" w:hAnsi="Arial" w:eastAsia="等线" w:cs="Arial"/>
          <w:sz w:val="22"/>
        </w:rPr>
        <w:t>（Health Factor）。</w:t>
      </w:r>
    </w:p>
    <w:p w14:paraId="634927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第七步：完成通知与能量结算</w:t>
      </w:r>
    </w:p>
    <w:p w14:paraId="3BB38106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通知</w:t>
      </w:r>
      <w:r>
        <w:rPr>
          <w:rFonts w:ascii="Arial" w:hAnsi="Arial" w:eastAsia="等线" w:cs="Arial"/>
          <w:sz w:val="22"/>
        </w:rPr>
        <w:t>：向所有者发送铸造成功通知，包括XTZH到账数量、黄金储备开仓详情、新的资产健康因子。</w:t>
      </w:r>
    </w:p>
    <w:p w14:paraId="03DEF7B6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能量结算</w:t>
      </w:r>
      <w:r>
        <w:rPr>
          <w:rFonts w:ascii="Arial" w:hAnsi="Arial" w:eastAsia="等线" w:cs="Arial"/>
          <w:sz w:val="22"/>
        </w:rPr>
        <w:t>：从冻结的XIC中扣除实际能耗费用，剩余解冻。费用结构包括：</w:t>
      </w:r>
    </w:p>
    <w:p w14:paraId="5A5C27B3">
      <w:pPr>
        <w:numPr>
          <w:ilvl w:val="0"/>
          <w:numId w:val="3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基础铸造费：</w:t>
      </w:r>
      <w:r>
        <w:rPr>
          <w:rFonts w:ascii="Consolas" w:hAnsi="Consolas" w:eastAsia="Consolas" w:cs="Consolas"/>
          <w:sz w:val="22"/>
          <w:shd w:val="clear" w:fill="EFF0F1"/>
        </w:rPr>
        <w:t>M_request * 0.1%</w:t>
      </w:r>
      <w:r>
        <w:rPr>
          <w:rFonts w:ascii="Arial" w:hAnsi="Arial" w:eastAsia="等线" w:cs="Arial"/>
          <w:sz w:val="22"/>
        </w:rPr>
        <w:t>（最低1 XTZH等值XIC）</w:t>
      </w:r>
    </w:p>
    <w:p w14:paraId="08A6BBA8">
      <w:pPr>
        <w:numPr>
          <w:ilvl w:val="0"/>
          <w:numId w:val="3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AI估值与合规能耗：根据资产复杂度和风险权重浮动。</w:t>
      </w:r>
    </w:p>
    <w:p w14:paraId="4A477550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黄金储备开仓交易费。</w:t>
      </w:r>
    </w:p>
    <w:p w14:paraId="253A207C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记录上链</w:t>
      </w:r>
      <w:r>
        <w:rPr>
          <w:rFonts w:ascii="Arial" w:hAnsi="Arial" w:eastAsia="等线" w:cs="Arial"/>
          <w:sz w:val="22"/>
        </w:rPr>
        <w:t>：能耗结算记录上链，完成闭环。</w:t>
      </w:r>
    </w:p>
    <w:p w14:paraId="41976DDD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1.3 关键参数与公式</w:t>
      </w:r>
      <w:bookmarkEnd w:id="6"/>
    </w:p>
    <w:p w14:paraId="521FEB36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可铸造量公式</w:t>
      </w:r>
      <w:r>
        <w:rPr>
          <w:rFonts w:ascii="Arial" w:hAnsi="Arial" w:eastAsia="等线" w:cs="Arial"/>
          <w:sz w:val="22"/>
        </w:rPr>
        <w:t>：</w:t>
      </w:r>
    </w:p>
    <w:p w14:paraId="2BB01A43">
      <w:pPr>
        <w:spacing w:before="120" w:after="120" w:line="288" w:lineRule="auto"/>
        <w:ind w:left="0"/>
        <w:jc w:val="left"/>
      </w:pPr>
      <w:r>
        <w:rPr>
          <w:rFonts w:ascii="Consolas" w:hAnsi="Consolas" w:eastAsia="Consolas" w:cs="Consolas"/>
          <w:sz w:val="22"/>
          <w:shd w:val="clear" w:fill="EFF0F1"/>
        </w:rPr>
        <w:t>M_max = V_xtzh * L</w:t>
      </w:r>
    </w:p>
    <w:p w14:paraId="694E4F27">
      <w:pPr>
        <w:numPr>
          <w:ilvl w:val="0"/>
          <w:numId w:val="36"/>
        </w:numPr>
        <w:spacing w:before="120" w:after="120" w:line="288" w:lineRule="auto"/>
        <w:ind w:left="453"/>
        <w:jc w:val="left"/>
      </w:pPr>
      <w:r>
        <w:rPr>
          <w:rFonts w:ascii="Consolas" w:hAnsi="Consolas" w:eastAsia="Consolas" w:cs="Consolas"/>
          <w:sz w:val="22"/>
          <w:shd w:val="clear" w:fill="EFF0F1"/>
        </w:rPr>
        <w:t>V_xtzh</w:t>
      </w:r>
      <w:r>
        <w:rPr>
          <w:rFonts w:ascii="Arial" w:hAnsi="Arial" w:eastAsia="等线" w:cs="Arial"/>
          <w:sz w:val="22"/>
        </w:rPr>
        <w:t>：AI估值系统输出的资产公允价值（XTZH个数）。</w:t>
      </w:r>
    </w:p>
    <w:p w14:paraId="237A0330">
      <w:pPr>
        <w:numPr>
          <w:ilvl w:val="0"/>
          <w:numId w:val="37"/>
        </w:numPr>
        <w:spacing w:before="120" w:after="120" w:line="288" w:lineRule="auto"/>
        <w:ind w:left="453"/>
        <w:jc w:val="left"/>
      </w:pPr>
      <w:r>
        <w:rPr>
          <w:rFonts w:ascii="Consolas" w:hAnsi="Consolas" w:eastAsia="Consolas" w:cs="Consolas"/>
          <w:sz w:val="22"/>
          <w:shd w:val="clear" w:fill="EFF0F1"/>
        </w:rPr>
        <w:t>L</w:t>
      </w:r>
      <w:r>
        <w:rPr>
          <w:rFonts w:ascii="Arial" w:hAnsi="Arial" w:eastAsia="等线" w:cs="Arial"/>
          <w:sz w:val="22"/>
        </w:rPr>
        <w:t>：动态质押率，由基础质押率与调整因子决定。</w:t>
      </w:r>
    </w:p>
    <w:p w14:paraId="331EA130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动态质押率（L）模型</w:t>
      </w:r>
      <w:r>
        <w:rPr>
          <w:rFonts w:ascii="Arial" w:hAnsi="Arial" w:eastAsia="等线" w:cs="Arial"/>
          <w:sz w:val="22"/>
        </w:rPr>
        <w:t>：</w:t>
      </w:r>
    </w:p>
    <w:tbl>
      <w:tblPr>
        <w:tblStyle w:val="2"/>
        <w:tblW w:w="0" w:type="auto"/>
        <w:tblInd w:w="453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827"/>
      </w:tblGrid>
      <w:tr w14:paraId="486A970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7827" w:type="dxa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FDEC5">
            <w:pPr>
              <w:spacing w:before="120" w:after="120" w:line="288" w:lineRule="auto"/>
              <w:jc w:val="left"/>
            </w:pPr>
            <w:r>
              <w:rPr>
                <w:rFonts w:ascii="Consolas" w:hAnsi="Consolas" w:eastAsia="Consolas" w:cs="Consolas"/>
                <w:color w:val="646A73"/>
                <w:sz w:val="22"/>
              </w:rPr>
              <w:t>Plain Text</w:t>
            </w:r>
            <w:r>
              <w:rPr>
                <w:rFonts w:ascii="Consolas" w:hAnsi="Consolas" w:eastAsia="Consolas" w:cs="Consolas"/>
                <w:color w:val="646A73"/>
                <w:sz w:val="22"/>
              </w:rPr>
              <w:br w:type="textWrapping"/>
            </w:r>
            <w:r>
              <w:rPr>
                <w:rFonts w:ascii="Consolas" w:hAnsi="Consolas" w:eastAsia="Consolas" w:cs="Consolas"/>
                <w:sz w:val="22"/>
              </w:rPr>
              <w:t>L = Base_Loan_To_Value(GNACS_Risk_Weight) * (1 + Σ Adjustment_Factors)</w:t>
            </w:r>
          </w:p>
        </w:tc>
      </w:tr>
    </w:tbl>
    <w:p w14:paraId="751B2957">
      <w:p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基础质押率矩阵</w:t>
      </w:r>
      <w:r>
        <w:rPr>
          <w:rFonts w:ascii="Arial" w:hAnsi="Arial" w:eastAsia="等线" w:cs="Arial"/>
          <w:sz w:val="22"/>
        </w:rPr>
        <w:t>（示例）：</w:t>
      </w:r>
    </w:p>
    <w:tbl>
      <w:tblPr>
        <w:tblStyle w:val="2"/>
        <w:tblW w:w="0" w:type="auto"/>
        <w:tblInd w:w="453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10"/>
        <w:gridCol w:w="2610"/>
        <w:gridCol w:w="2610"/>
      </w:tblGrid>
      <w:tr w14:paraId="47C367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4AFB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GNACS风险权重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F1E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资产类别示例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B69F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基础质押率</w:t>
            </w:r>
          </w:p>
        </w:tc>
      </w:tr>
      <w:tr w14:paraId="28A710C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8599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B4E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现金、黄金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442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90%</w:t>
            </w:r>
          </w:p>
        </w:tc>
      </w:tr>
      <w:tr w14:paraId="66ABAC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4114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0-20%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A33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AAA国债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885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85%</w:t>
            </w:r>
          </w:p>
        </w:tc>
      </w:tr>
      <w:tr w14:paraId="312C058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E598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20-50%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BF27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投资级公司债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1D6B1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75%</w:t>
            </w:r>
          </w:p>
        </w:tc>
      </w:tr>
      <w:tr w14:paraId="4FF9458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9516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50-100%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FCD0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商业地产、股票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F529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60%</w:t>
            </w:r>
          </w:p>
        </w:tc>
      </w:tr>
      <w:tr w14:paraId="658338F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E07D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100%+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A24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高风险债权、初创股权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585D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40%</w:t>
            </w:r>
          </w:p>
        </w:tc>
      </w:tr>
    </w:tbl>
    <w:p w14:paraId="0E2A74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    </w:t>
      </w:r>
      <w:r>
        <w:rPr>
          <w:rFonts w:ascii="Arial" w:hAnsi="Arial" w:eastAsia="等线" w:cs="Arial"/>
          <w:b/>
          <w:sz w:val="22"/>
        </w:rPr>
        <w:t>调整因子（Σ Adjustment_Factors）</w:t>
      </w:r>
      <w:r>
        <w:rPr>
          <w:rFonts w:ascii="Arial" w:hAnsi="Arial" w:eastAsia="等线" w:cs="Arial"/>
          <w:sz w:val="22"/>
        </w:rPr>
        <w:t>：</w:t>
      </w:r>
    </w:p>
    <w:p w14:paraId="6F10E98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    - 流动性因子：</w:t>
      </w:r>
      <w:r>
        <w:rPr>
          <w:rFonts w:ascii="Consolas" w:hAnsi="Consolas" w:eastAsia="Consolas" w:cs="Consolas"/>
          <w:sz w:val="22"/>
          <w:shd w:val="clear" w:fill="EFF0F1"/>
        </w:rPr>
        <w:t>-0.05</w:t>
      </w:r>
      <w:r>
        <w:rPr>
          <w:rFonts w:ascii="Arial" w:hAnsi="Arial" w:eastAsia="等线" w:cs="Arial"/>
          <w:sz w:val="22"/>
        </w:rPr>
        <w:t xml:space="preserve"> 至 </w:t>
      </w:r>
      <w:r>
        <w:rPr>
          <w:rFonts w:ascii="Consolas" w:hAnsi="Consolas" w:eastAsia="Consolas" w:cs="Consolas"/>
          <w:sz w:val="22"/>
          <w:shd w:val="clear" w:fill="EFF0F1"/>
        </w:rPr>
        <w:t>+0.02</w:t>
      </w:r>
    </w:p>
    <w:p w14:paraId="4DADD5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    - 估值置信度因子：</w:t>
      </w:r>
      <w:r>
        <w:rPr>
          <w:rFonts w:ascii="Consolas" w:hAnsi="Consolas" w:eastAsia="Consolas" w:cs="Consolas"/>
          <w:sz w:val="22"/>
          <w:shd w:val="clear" w:fill="EFF0F1"/>
        </w:rPr>
        <w:t>-0.10</w:t>
      </w:r>
      <w:r>
        <w:rPr>
          <w:rFonts w:ascii="Arial" w:hAnsi="Arial" w:eastAsia="等线" w:cs="Arial"/>
          <w:sz w:val="22"/>
        </w:rPr>
        <w:t xml:space="preserve"> 至 </w:t>
      </w:r>
      <w:r>
        <w:rPr>
          <w:rFonts w:ascii="Consolas" w:hAnsi="Consolas" w:eastAsia="Consolas" w:cs="Consolas"/>
          <w:sz w:val="22"/>
          <w:shd w:val="clear" w:fill="EFF0F1"/>
        </w:rPr>
        <w:t>+0.03</w:t>
      </w:r>
    </w:p>
    <w:p w14:paraId="7A583B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    - 集中度风险因子：</w:t>
      </w:r>
      <w:r>
        <w:rPr>
          <w:rFonts w:ascii="Consolas" w:hAnsi="Consolas" w:eastAsia="Consolas" w:cs="Consolas"/>
          <w:sz w:val="22"/>
          <w:shd w:val="clear" w:fill="EFF0F1"/>
        </w:rPr>
        <w:t>-0.10</w:t>
      </w:r>
      <w:r>
        <w:rPr>
          <w:rFonts w:ascii="Arial" w:hAnsi="Arial" w:eastAsia="等线" w:cs="Arial"/>
          <w:sz w:val="22"/>
        </w:rPr>
        <w:t xml:space="preserve"> 至 </w:t>
      </w:r>
      <w:r>
        <w:rPr>
          <w:rFonts w:ascii="Consolas" w:hAnsi="Consolas" w:eastAsia="Consolas" w:cs="Consolas"/>
          <w:sz w:val="22"/>
          <w:shd w:val="clear" w:fill="EFF0F1"/>
        </w:rPr>
        <w:t>+0.02</w:t>
      </w:r>
    </w:p>
    <w:p w14:paraId="2B053B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    - 正向调整合计不超过+5%，负向调整无下限，但最低质押率不低于30%。</w:t>
      </w:r>
    </w:p>
    <w:p w14:paraId="7FB9AA1B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健康因子（HF）</w:t>
      </w:r>
      <w:r>
        <w:rPr>
          <w:rFonts w:ascii="Arial" w:hAnsi="Arial" w:eastAsia="等线" w:cs="Arial"/>
          <w:sz w:val="22"/>
        </w:rPr>
        <w:t>：</w:t>
      </w:r>
    </w:p>
    <w:p w14:paraId="07D5951B">
      <w:pPr>
        <w:spacing w:before="120" w:after="120" w:line="288" w:lineRule="auto"/>
        <w:ind w:left="0"/>
        <w:jc w:val="left"/>
      </w:pPr>
      <w:r>
        <w:rPr>
          <w:rFonts w:ascii="Consolas" w:hAnsi="Consolas" w:eastAsia="Consolas" w:cs="Consolas"/>
          <w:sz w:val="22"/>
          <w:shd w:val="clear" w:fill="EFF0F1"/>
        </w:rPr>
        <w:t>HF = (V_xtzh * L) / M_actual</w:t>
      </w:r>
    </w:p>
    <w:p w14:paraId="2E59DE1B">
      <w:pPr>
        <w:numPr>
          <w:ilvl w:val="0"/>
          <w:numId w:val="40"/>
        </w:numPr>
        <w:spacing w:before="120" w:after="120" w:line="288" w:lineRule="auto"/>
        <w:ind w:left="453"/>
        <w:jc w:val="left"/>
      </w:pPr>
      <w:r>
        <w:rPr>
          <w:rFonts w:ascii="Consolas" w:hAnsi="Consolas" w:eastAsia="Consolas" w:cs="Consolas"/>
          <w:sz w:val="22"/>
          <w:shd w:val="clear" w:fill="EFF0F1"/>
        </w:rPr>
        <w:t>M_actual</w:t>
      </w:r>
      <w:r>
        <w:rPr>
          <w:rFonts w:ascii="Arial" w:hAnsi="Arial" w:eastAsia="等线" w:cs="Arial"/>
          <w:sz w:val="22"/>
        </w:rPr>
        <w:t>：该资产已实际铸造的XTZH数量。</w:t>
      </w:r>
    </w:p>
    <w:p w14:paraId="68BBCCFD">
      <w:pPr>
        <w:numPr>
          <w:ilvl w:val="0"/>
          <w:numId w:val="4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当 </w:t>
      </w:r>
      <w:r>
        <w:rPr>
          <w:rFonts w:ascii="Consolas" w:hAnsi="Consolas" w:eastAsia="Consolas" w:cs="Consolas"/>
          <w:sz w:val="22"/>
          <w:shd w:val="clear" w:fill="EFF0F1"/>
        </w:rPr>
        <w:t>HF &lt; 1.1</w:t>
      </w:r>
      <w:r>
        <w:rPr>
          <w:rFonts w:ascii="Arial" w:hAnsi="Arial" w:eastAsia="等线" w:cs="Arial"/>
          <w:sz w:val="22"/>
        </w:rPr>
        <w:t xml:space="preserve"> 触发预警，</w:t>
      </w:r>
      <w:r>
        <w:rPr>
          <w:rFonts w:ascii="Consolas" w:hAnsi="Consolas" w:eastAsia="Consolas" w:cs="Consolas"/>
          <w:sz w:val="22"/>
          <w:shd w:val="clear" w:fill="EFF0F1"/>
        </w:rPr>
        <w:t>HF &lt; 1.0</w:t>
      </w:r>
      <w:r>
        <w:rPr>
          <w:rFonts w:ascii="Arial" w:hAnsi="Arial" w:eastAsia="等线" w:cs="Arial"/>
          <w:sz w:val="22"/>
        </w:rPr>
        <w:t xml:space="preserve"> 触发清算程序。</w:t>
      </w:r>
    </w:p>
    <w:p w14:paraId="68D50E85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1.4 风险管控与特殊情况</w:t>
      </w:r>
      <w:bookmarkEnd w:id="7"/>
    </w:p>
    <w:p w14:paraId="652423BA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暂停铸造（熔断）条件</w:t>
      </w:r>
      <w:r>
        <w:rPr>
          <w:rFonts w:ascii="Arial" w:hAnsi="Arial" w:eastAsia="等线" w:cs="Arial"/>
          <w:sz w:val="22"/>
        </w:rPr>
        <w:t>（满足任一则全局暂停新铸造）：</w:t>
      </w:r>
    </w:p>
    <w:p w14:paraId="459428D6">
      <w:pPr>
        <w:numPr>
          <w:ilvl w:val="0"/>
          <w:numId w:val="4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系统总黄金储备覆盖率（&lt; 1.0 超过1小时。</w:t>
      </w:r>
    </w:p>
    <w:p w14:paraId="48554E64">
      <w:pPr>
        <w:numPr>
          <w:ilvl w:val="0"/>
          <w:numId w:val="4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全&lt; 1.05。</w:t>
      </w:r>
    </w:p>
    <w:p w14:paraId="04A529A8">
      <w:pPr>
        <w:numPr>
          <w:ilvl w:val="0"/>
          <w:numId w:val="4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检测到影响估值系统的重大安全事件。</w:t>
      </w:r>
    </w:p>
    <w:p w14:paraId="70806979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单资产铸造限制</w:t>
      </w:r>
      <w:r>
        <w:rPr>
          <w:rFonts w:ascii="Arial" w:hAnsi="Arial" w:eastAsia="等线" w:cs="Arial"/>
          <w:sz w:val="22"/>
        </w:rPr>
        <w:t>：</w:t>
      </w:r>
    </w:p>
    <w:p w14:paraId="5DECB5E1">
      <w:pPr>
        <w:numPr>
          <w:ilvl w:val="0"/>
          <w:numId w:val="4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同一资产，单次铸造量不得超过 </w:t>
      </w:r>
      <w:r>
        <w:rPr>
          <w:rFonts w:ascii="Consolas" w:hAnsi="Consolas" w:eastAsia="Consolas" w:cs="Consolas"/>
          <w:sz w:val="22"/>
          <w:shd w:val="clear" w:fill="EFF0F1"/>
        </w:rPr>
        <w:t>M_max</w:t>
      </w:r>
      <w:r>
        <w:rPr>
          <w:rFonts w:ascii="Arial" w:hAnsi="Arial" w:eastAsia="等线" w:cs="Arial"/>
          <w:sz w:val="22"/>
        </w:rPr>
        <w:t xml:space="preserve"> 的50%。</w:t>
      </w:r>
    </w:p>
    <w:p w14:paraId="0AEF6014">
      <w:pPr>
        <w:numPr>
          <w:ilvl w:val="0"/>
          <w:numId w:val="4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同一资产，24小时内累计铸造量不得超过 </w:t>
      </w:r>
      <w:r>
        <w:rPr>
          <w:rFonts w:ascii="Consolas" w:hAnsi="Consolas" w:eastAsia="Consolas" w:cs="Consolas"/>
          <w:sz w:val="22"/>
          <w:shd w:val="clear" w:fill="EFF0F1"/>
        </w:rPr>
        <w:t>M_max</w:t>
      </w:r>
      <w:r>
        <w:rPr>
          <w:rFonts w:ascii="Arial" w:hAnsi="Arial" w:eastAsia="等线" w:cs="Arial"/>
          <w:sz w:val="22"/>
        </w:rPr>
        <w:t xml:space="preserve"> 的80%。</w:t>
      </w:r>
    </w:p>
    <w:p w14:paraId="27404855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错误铸造处理</w:t>
      </w:r>
      <w:r>
        <w:rPr>
          <w:rFonts w:ascii="Arial" w:hAnsi="Arial" w:eastAsia="等线" w:cs="Arial"/>
          <w:sz w:val="22"/>
        </w:rPr>
        <w:t>：如因预言机攻击或AI估值严重错误导致超额铸造，系统将：</w:t>
      </w:r>
    </w:p>
    <w:p w14:paraId="64E289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a. 暂停该资产类别新铸造。</w:t>
      </w:r>
    </w:p>
    <w:p w14:paraId="25DA56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b. 使用风险准备金在市场上回购超额XTZH并销毁。</w:t>
      </w:r>
    </w:p>
    <w:p w14:paraId="50E260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c. 启动治理投票，决定是否对受影响方进行补偿。</w:t>
      </w:r>
    </w:p>
    <w:p w14:paraId="569C206E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144A2EFA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第二章：跨链资产铸造XTZH细则</w:t>
      </w:r>
      <w:bookmarkEnd w:id="8"/>
    </w:p>
    <w:p w14:paraId="56766D9D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2.1 核心原则：主权转换与价值重估</w:t>
      </w:r>
      <w:bookmarkEnd w:id="9"/>
    </w:p>
    <w:p w14:paraId="472BC9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跨链铸造不是在NAC链上“映射”或“包装”外部资产，而是</w:t>
      </w:r>
      <w:r>
        <w:rPr>
          <w:rFonts w:ascii="Arial" w:hAnsi="Arial" w:eastAsia="等线" w:cs="Arial"/>
          <w:b/>
          <w:sz w:val="22"/>
        </w:rPr>
        <w:t>以锁定的外部资产为价值支撑，在NAC链上创建具备独立主权的原生XTZH</w:t>
      </w:r>
      <w:r>
        <w:rPr>
          <w:rFonts w:ascii="Arial" w:hAnsi="Arial" w:eastAsia="等线" w:cs="Arial"/>
          <w:sz w:val="22"/>
        </w:rPr>
        <w:t>。该过程伴随严格的</w:t>
      </w:r>
      <w:r>
        <w:rPr>
          <w:rFonts w:ascii="Arial" w:hAnsi="Arial" w:eastAsia="等线" w:cs="Arial"/>
          <w:b/>
          <w:sz w:val="22"/>
        </w:rPr>
        <w:t>合规重检</w:t>
      </w:r>
      <w:r>
        <w:rPr>
          <w:rFonts w:ascii="Arial" w:hAnsi="Arial" w:eastAsia="等线" w:cs="Arial"/>
          <w:sz w:val="22"/>
        </w:rPr>
        <w:t>与</w:t>
      </w:r>
      <w:r>
        <w:rPr>
          <w:rFonts w:ascii="Arial" w:hAnsi="Arial" w:eastAsia="等线" w:cs="Arial"/>
          <w:b/>
          <w:sz w:val="22"/>
        </w:rPr>
        <w:t>独立估值</w:t>
      </w:r>
      <w:r>
        <w:rPr>
          <w:rFonts w:ascii="Arial" w:hAnsi="Arial" w:eastAsia="等线" w:cs="Arial"/>
          <w:sz w:val="22"/>
        </w:rPr>
        <w:t>。</w:t>
      </w:r>
    </w:p>
    <w:p w14:paraId="1B8D2ED4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2.2 跨链铸造资格与前置条件</w:t>
      </w:r>
      <w:bookmarkEnd w:id="10"/>
    </w:p>
    <w:p w14:paraId="16A125A7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源资产资格</w:t>
      </w:r>
      <w:r>
        <w:rPr>
          <w:rFonts w:ascii="Arial" w:hAnsi="Arial" w:eastAsia="等线" w:cs="Arial"/>
          <w:sz w:val="22"/>
        </w:rPr>
        <w:t>：</w:t>
      </w:r>
    </w:p>
    <w:p w14:paraId="1C752B4A">
      <w:pPr>
        <w:numPr>
          <w:ilvl w:val="0"/>
          <w:numId w:val="5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必须是来自NAC官方支持的</w:t>
      </w:r>
      <w:r>
        <w:rPr>
          <w:rFonts w:ascii="Arial" w:hAnsi="Arial" w:eastAsia="等线" w:cs="Arial"/>
          <w:b/>
          <w:sz w:val="22"/>
        </w:rPr>
        <w:t>桥接白名单</w:t>
      </w:r>
      <w:r>
        <w:rPr>
          <w:rFonts w:ascii="Arial" w:hAnsi="Arial" w:eastAsia="等线" w:cs="Arial"/>
          <w:sz w:val="22"/>
        </w:rPr>
        <w:t>公链（如比特币、以太坊主网）或传统金融系统的资产。</w:t>
      </w:r>
    </w:p>
    <w:p w14:paraId="3093A12B">
      <w:pPr>
        <w:numPr>
          <w:ilvl w:val="0"/>
          <w:numId w:val="5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必须是在源链上</w:t>
      </w:r>
      <w:r>
        <w:rPr>
          <w:rFonts w:ascii="Arial" w:hAnsi="Arial" w:eastAsia="等线" w:cs="Arial"/>
          <w:b/>
          <w:sz w:val="22"/>
        </w:rPr>
        <w:t>原生</w:t>
      </w:r>
      <w:r>
        <w:rPr>
          <w:rFonts w:ascii="Arial" w:hAnsi="Arial" w:eastAsia="等线" w:cs="Arial"/>
          <w:sz w:val="22"/>
        </w:rPr>
        <w:t>、权属清晰、可验证的资产（如BTC、ETH、合规稳定币、已验证的跨链RWA代币）。</w:t>
      </w:r>
    </w:p>
    <w:p w14:paraId="06246376">
      <w:pPr>
        <w:numPr>
          <w:ilvl w:val="0"/>
          <w:numId w:val="5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禁止转入匿名性强的资产（如隐私币）、未经验证的衍生品或存在重大监管风险的资产。</w:t>
      </w:r>
    </w:p>
    <w:p w14:paraId="391BF2B5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跨链桥状态</w:t>
      </w:r>
      <w:r>
        <w:rPr>
          <w:rFonts w:ascii="Arial" w:hAnsi="Arial" w:eastAsia="等线" w:cs="Arial"/>
          <w:sz w:val="22"/>
        </w:rPr>
        <w:t>：对应的跨链桥必须处于“安全、活跃”状态，且待铸造额度未超过其保险额度。</w:t>
      </w:r>
    </w:p>
    <w:p w14:paraId="413976D5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所有者资格</w:t>
      </w:r>
      <w:r>
        <w:rPr>
          <w:rFonts w:ascii="Arial" w:hAnsi="Arial" w:eastAsia="等线" w:cs="Arial"/>
          <w:sz w:val="22"/>
        </w:rPr>
        <w:t>：申请铸造的OwnerDID必须完成不低于</w:t>
      </w:r>
      <w:r>
        <w:rPr>
          <w:rFonts w:ascii="Arial" w:hAnsi="Arial" w:eastAsia="等线" w:cs="Arial"/>
          <w:b/>
          <w:sz w:val="22"/>
        </w:rPr>
        <w:t>KYC 2级</w:t>
      </w:r>
      <w:r>
        <w:rPr>
          <w:rFonts w:ascii="Arial" w:hAnsi="Arial" w:eastAsia="等线" w:cs="Arial"/>
          <w:sz w:val="22"/>
        </w:rPr>
        <w:t>验证。若转入资产在源链关联的身份系统，需进行一致性比对。</w:t>
      </w:r>
    </w:p>
    <w:p w14:paraId="3ECF5439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合规预审</w:t>
      </w:r>
      <w:r>
        <w:rPr>
          <w:rFonts w:ascii="Arial" w:hAnsi="Arial" w:eastAsia="等线" w:cs="Arial"/>
          <w:sz w:val="22"/>
        </w:rPr>
        <w:t>：发起铸造前，用户必须通过简易界面声明转入资产的类型、来源和用途，通过AI合规引擎的初步筛查。</w:t>
      </w:r>
    </w:p>
    <w:p w14:paraId="1DD52633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2.3 跨链铸造流程（八步闭环）</w:t>
      </w:r>
      <w:bookmarkEnd w:id="11"/>
    </w:p>
    <w:p w14:paraId="53769B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第一步：跨链转入申请与资产锁定</w:t>
      </w:r>
    </w:p>
    <w:p w14:paraId="7EE3370F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用户在NAC链上发起跨链铸造申请，指定源链、资产类型、数量、目标接收OwnerDID。</w:t>
      </w:r>
    </w:p>
    <w:p w14:paraId="09D0E343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系统生成唯一的</w:t>
      </w:r>
      <w:r>
        <w:rPr>
          <w:rFonts w:ascii="Arial" w:hAnsi="Arial" w:eastAsia="等线" w:cs="Arial"/>
          <w:b/>
          <w:sz w:val="22"/>
        </w:rPr>
        <w:t>跨链存款地址</w:t>
      </w:r>
      <w:r>
        <w:rPr>
          <w:rFonts w:ascii="Arial" w:hAnsi="Arial" w:eastAsia="等线" w:cs="Arial"/>
          <w:sz w:val="22"/>
        </w:rPr>
        <w:t>（多签控制）或触发源链的锁定合约。</w:t>
      </w:r>
    </w:p>
    <w:p w14:paraId="2382A9C5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用户将源资产发送至该地址或调用锁定合约。锁定事件由跨链桥验证者网络监控。</w:t>
      </w:r>
    </w:p>
    <w:p w14:paraId="666E40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第二步：跨链验证与公证</w:t>
      </w:r>
    </w:p>
    <w:p w14:paraId="46225786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轻客户端验证</w:t>
      </w:r>
      <w:r>
        <w:rPr>
          <w:rFonts w:ascii="Arial" w:hAnsi="Arial" w:eastAsia="等线" w:cs="Arial"/>
          <w:sz w:val="22"/>
        </w:rPr>
        <w:t>：NAC链上的轻客户端验证源链的区块头，确认锁定交易已被足够确认数打包。</w:t>
      </w:r>
    </w:p>
    <w:p w14:paraId="1201DE0A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多方签名公证</w:t>
      </w:r>
      <w:r>
        <w:rPr>
          <w:rFonts w:ascii="Arial" w:hAnsi="Arial" w:eastAsia="等线" w:cs="Arial"/>
          <w:sz w:val="22"/>
        </w:rPr>
        <w:t>：跨链桥的验证者节点（至少5/8）对锁定交易进行签名公证，生成</w:t>
      </w:r>
      <w:r>
        <w:rPr>
          <w:rFonts w:ascii="Arial" w:hAnsi="Arial" w:eastAsia="等线" w:cs="Arial"/>
          <w:b/>
          <w:sz w:val="22"/>
        </w:rPr>
        <w:t>跨链锁定证明</w:t>
      </w:r>
      <w:r>
        <w:rPr>
          <w:rFonts w:ascii="Arial" w:hAnsi="Arial" w:eastAsia="等线" w:cs="Arial"/>
          <w:sz w:val="22"/>
        </w:rPr>
        <w:t>。</w:t>
      </w:r>
    </w:p>
    <w:p w14:paraId="4C0C2CB7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证明上链</w:t>
      </w:r>
      <w:r>
        <w:rPr>
          <w:rFonts w:ascii="Arial" w:hAnsi="Arial" w:eastAsia="等线" w:cs="Arial"/>
          <w:sz w:val="22"/>
        </w:rPr>
        <w:t>：该证明被提交至NAC链上的跨链管理器合约，状态更新为</w:t>
      </w:r>
      <w:r>
        <w:rPr>
          <w:rFonts w:ascii="Consolas" w:hAnsi="Consolas" w:eastAsia="Consolas" w:cs="Consolas"/>
          <w:sz w:val="22"/>
          <w:shd w:val="clear" w:fill="EFF0F1"/>
        </w:rPr>
        <w:t>资产已锁定，待验证</w:t>
      </w:r>
      <w:r>
        <w:rPr>
          <w:rFonts w:ascii="Arial" w:hAnsi="Arial" w:eastAsia="等线" w:cs="Arial"/>
          <w:sz w:val="22"/>
        </w:rPr>
        <w:t>。</w:t>
      </w:r>
    </w:p>
    <w:p w14:paraId="1A14A9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第三步：GNACS重分类与合规重检</w:t>
      </w:r>
    </w:p>
    <w:p w14:paraId="780E6BEB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AI重分类</w:t>
      </w:r>
      <w:r>
        <w:rPr>
          <w:rFonts w:ascii="Arial" w:hAnsi="Arial" w:eastAsia="等线" w:cs="Arial"/>
          <w:sz w:val="22"/>
        </w:rPr>
        <w:t>：AI合规引擎分析转入资产的公开信息（白皮书、官网、链上数据），将其</w:t>
      </w:r>
      <w:r>
        <w:rPr>
          <w:rFonts w:ascii="Arial" w:hAnsi="Arial" w:eastAsia="等线" w:cs="Arial"/>
          <w:b/>
          <w:sz w:val="22"/>
        </w:rPr>
        <w:t>重新分类</w:t>
      </w:r>
      <w:r>
        <w:rPr>
          <w:rFonts w:ascii="Arial" w:hAnsi="Arial" w:eastAsia="等线" w:cs="Arial"/>
          <w:sz w:val="22"/>
        </w:rPr>
        <w:t>为最适合的GNACS编码。例如：</w:t>
      </w:r>
    </w:p>
    <w:p w14:paraId="58E7FC78">
      <w:pPr>
        <w:numPr>
          <w:ilvl w:val="0"/>
          <w:numId w:val="6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BTC -&gt; 可能被归类为 </w:t>
      </w:r>
      <w:r>
        <w:rPr>
          <w:rFonts w:ascii="Consolas" w:hAnsi="Consolas" w:eastAsia="Consolas" w:cs="Consolas"/>
          <w:sz w:val="22"/>
          <w:shd w:val="clear" w:fill="EFF0F1"/>
        </w:rPr>
        <w:t>990105</w:t>
      </w:r>
      <w:r>
        <w:rPr>
          <w:rFonts w:ascii="Arial" w:hAnsi="Arial" w:eastAsia="等线" w:cs="Arial"/>
          <w:sz w:val="22"/>
        </w:rPr>
        <w:t>（数字商品-加密货币）</w:t>
      </w:r>
    </w:p>
    <w:p w14:paraId="2CBC43D6">
      <w:pPr>
        <w:numPr>
          <w:ilvl w:val="0"/>
          <w:numId w:val="6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合规稳定币USDC -&gt; 可能被归类为金融资产下的现金等价物。</w:t>
      </w:r>
    </w:p>
    <w:p w14:paraId="2AAE7578">
      <w:pPr>
        <w:numPr>
          <w:ilvl w:val="0"/>
          <w:numId w:val="6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一个声称锚定美债的ERC-20 -&gt; 需验证其托管审计报告，并可能归类为债券类资产。</w:t>
      </w:r>
    </w:p>
    <w:p w14:paraId="6051980D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七层合规重检</w:t>
      </w:r>
      <w:r>
        <w:rPr>
          <w:rFonts w:ascii="Arial" w:hAnsi="Arial" w:eastAsia="等线" w:cs="Arial"/>
          <w:sz w:val="22"/>
        </w:rPr>
        <w:t>：对重分类后的资产，执行完整的七层合规检查，重点在</w:t>
      </w:r>
      <w:r>
        <w:rPr>
          <w:rFonts w:ascii="Arial" w:hAnsi="Arial" w:eastAsia="等线" w:cs="Arial"/>
          <w:b/>
          <w:sz w:val="22"/>
        </w:rPr>
        <w:t>层2（权属）、层4（项目方合规）、层7（跨辖区）</w:t>
      </w:r>
      <w:r>
        <w:rPr>
          <w:rFonts w:ascii="Arial" w:hAnsi="Arial" w:eastAsia="等线" w:cs="Arial"/>
          <w:sz w:val="22"/>
        </w:rPr>
        <w:t>。任何一层不通过，铸造终止，资产退回（扣除能耗费）。</w:t>
      </w:r>
    </w:p>
    <w:p w14:paraId="5DC694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第四步：独立AI估值</w:t>
      </w:r>
    </w:p>
    <w:p w14:paraId="3E565031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价值重估</w:t>
      </w:r>
      <w:r>
        <w:rPr>
          <w:rFonts w:ascii="Arial" w:hAnsi="Arial" w:eastAsia="等线" w:cs="Arial"/>
          <w:sz w:val="22"/>
        </w:rPr>
        <w:t>：AI估值系统</w:t>
      </w:r>
      <w:r>
        <w:rPr>
          <w:rFonts w:ascii="Arial" w:hAnsi="Arial" w:eastAsia="等线" w:cs="Arial"/>
          <w:b/>
          <w:sz w:val="22"/>
        </w:rPr>
        <w:t>完全忽略</w:t>
      </w:r>
      <w:r>
        <w:rPr>
          <w:rFonts w:ascii="Arial" w:hAnsi="Arial" w:eastAsia="等线" w:cs="Arial"/>
          <w:sz w:val="22"/>
        </w:rPr>
        <w:t>该资产在源链的市场价格，而是依据其GNACS重分类结果，进行独立估值。</w:t>
      </w:r>
    </w:p>
    <w:p w14:paraId="4D2E6B94">
      <w:pPr>
        <w:numPr>
          <w:ilvl w:val="0"/>
          <w:numId w:val="6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对于BTC/ETH：采用NAC自身的“数字商品”估值模型，考虑算力、网络活性、宏观替代品等因素。</w:t>
      </w:r>
    </w:p>
    <w:p w14:paraId="14009630">
      <w:pPr>
        <w:numPr>
          <w:ilvl w:val="0"/>
          <w:numId w:val="7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对于合规稳定币：直接锚定其1:1法币背书，但需扣除跨链风险和托管风险折扣（如0.1%）。</w:t>
      </w:r>
    </w:p>
    <w:p w14:paraId="66D1B544">
      <w:pPr>
        <w:numPr>
          <w:ilvl w:val="0"/>
          <w:numId w:val="7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对于跨链RWA代币：严格审查其底层资产凭证，并依据底层资产在NAC体系内估值。</w:t>
      </w:r>
    </w:p>
    <w:p w14:paraId="03347985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输出 </w:t>
      </w:r>
      <w:r>
        <w:rPr>
          <w:rFonts w:ascii="Consolas" w:hAnsi="Consolas" w:eastAsia="Consolas" w:cs="Consolas"/>
          <w:sz w:val="22"/>
          <w:shd w:val="clear" w:fill="EFF0F1"/>
        </w:rPr>
        <w:t>V_xtzh</w:t>
      </w:r>
      <w:r>
        <w:rPr>
          <w:rFonts w:ascii="Arial" w:hAnsi="Arial" w:eastAsia="等线" w:cs="Arial"/>
          <w:sz w:val="22"/>
        </w:rPr>
        <w:t>（以XTZH计价的公允价值）。</w:t>
      </w:r>
    </w:p>
    <w:p w14:paraId="5400C3C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第五步：计算可铸造量与储备联动</w:t>
      </w:r>
    </w:p>
    <w:p w14:paraId="65C4DF94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计算动态质押率 </w:t>
      </w:r>
      <w:r>
        <w:rPr>
          <w:rFonts w:ascii="Consolas" w:hAnsi="Consolas" w:eastAsia="Consolas" w:cs="Consolas"/>
          <w:sz w:val="22"/>
          <w:shd w:val="clear" w:fill="EFF0F1"/>
        </w:rPr>
        <w:t>L</w:t>
      </w:r>
      <w:r>
        <w:rPr>
          <w:rFonts w:ascii="Arial" w:hAnsi="Arial" w:eastAsia="等线" w:cs="Arial"/>
          <w:sz w:val="22"/>
        </w:rPr>
        <w:t>（基于重分类后的GNACS风险权重）。</w:t>
      </w:r>
    </w:p>
    <w:p w14:paraId="06E0E4DA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计算最大可铸造量 </w:t>
      </w:r>
      <w:r>
        <w:rPr>
          <w:rFonts w:ascii="Consolas" w:hAnsi="Consolas" w:eastAsia="Consolas" w:cs="Consolas"/>
          <w:sz w:val="22"/>
          <w:shd w:val="clear" w:fill="EFF0F1"/>
        </w:rPr>
        <w:t>M_max = V_xtzh * L</w:t>
      </w:r>
      <w:r>
        <w:rPr>
          <w:rFonts w:ascii="Arial" w:hAnsi="Arial" w:eastAsia="等线" w:cs="Arial"/>
          <w:sz w:val="22"/>
        </w:rPr>
        <w:t>。</w:t>
      </w:r>
    </w:p>
    <w:p w14:paraId="04E3A0C7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用户确认铸造数量 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 xml:space="preserve">（≤ </w:t>
      </w:r>
      <w:r>
        <w:rPr>
          <w:rFonts w:ascii="Consolas" w:hAnsi="Consolas" w:eastAsia="Consolas" w:cs="Consolas"/>
          <w:sz w:val="22"/>
          <w:shd w:val="clear" w:fill="EFF0F1"/>
        </w:rPr>
        <w:t>M_max</w:t>
      </w:r>
      <w:r>
        <w:rPr>
          <w:rFonts w:ascii="Arial" w:hAnsi="Arial" w:eastAsia="等线" w:cs="Arial"/>
          <w:sz w:val="22"/>
        </w:rPr>
        <w:t>）。</w:t>
      </w:r>
    </w:p>
    <w:p w14:paraId="6C56498B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黄金储备预占</w:t>
      </w:r>
      <w:r>
        <w:rPr>
          <w:rFonts w:ascii="Arial" w:hAnsi="Arial" w:eastAsia="等线" w:cs="Arial"/>
          <w:sz w:val="22"/>
        </w:rPr>
        <w:t>：同步启动，与RWA铸造流程第三步相同。</w:t>
      </w:r>
    </w:p>
    <w:p w14:paraId="11B4A84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第六步：NAC原生XTZH铸造与所有权绑定</w:t>
      </w:r>
    </w:p>
    <w:p w14:paraId="040327CB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在NAC链上铸造 </w:t>
      </w:r>
      <w:r>
        <w:rPr>
          <w:rFonts w:ascii="Consolas" w:hAnsi="Consolas" w:eastAsia="Consolas" w:cs="Consolas"/>
          <w:sz w:val="22"/>
          <w:shd w:val="clear" w:fill="EFF0F1"/>
        </w:rPr>
        <w:t>M_request</w:t>
      </w:r>
      <w:r>
        <w:rPr>
          <w:rFonts w:ascii="Arial" w:hAnsi="Arial" w:eastAsia="等线" w:cs="Arial"/>
          <w:sz w:val="22"/>
        </w:rPr>
        <w:t xml:space="preserve"> 数量的全新XTZH，并绑定到申请者的OwnerDID。</w:t>
      </w:r>
    </w:p>
    <w:p w14:paraId="6926858F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生成</w:t>
      </w:r>
      <w:r>
        <w:rPr>
          <w:rFonts w:ascii="Arial" w:hAnsi="Arial" w:eastAsia="等线" w:cs="Arial"/>
          <w:b/>
          <w:sz w:val="22"/>
        </w:rPr>
        <w:t>跨链铸造凭证</w:t>
      </w:r>
      <w:r>
        <w:rPr>
          <w:rFonts w:ascii="Arial" w:hAnsi="Arial" w:eastAsia="等线" w:cs="Arial"/>
          <w:sz w:val="22"/>
        </w:rPr>
        <w:t>，包含：源链锁定证明哈希、GNACS重分类编码、AI估值报告哈希、铸造XTZH数量。</w:t>
      </w:r>
    </w:p>
    <w:p w14:paraId="744602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第七步：生成NAC原生资产记录（可选但推荐）</w:t>
      </w:r>
    </w:p>
    <w:p w14:paraId="14E40329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系统自动为该笔跨链铸造创建一个</w:t>
      </w:r>
      <w:r>
        <w:rPr>
          <w:rFonts w:ascii="Arial" w:hAnsi="Arial" w:eastAsia="等线" w:cs="Arial"/>
          <w:b/>
          <w:sz w:val="22"/>
        </w:rPr>
        <w:t>虚拟的ACC-20资产记录</w:t>
      </w:r>
      <w:r>
        <w:rPr>
          <w:rFonts w:ascii="Arial" w:hAnsi="Arial" w:eastAsia="等线" w:cs="Arial"/>
          <w:sz w:val="22"/>
        </w:rPr>
        <w:t>，其DNA基于源资产信息和跨链证明生成。</w:t>
      </w:r>
    </w:p>
    <w:p w14:paraId="289C5532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该虚拟资产不代表链下实物，而是作为跨链铸造事件的链上</w:t>
      </w:r>
      <w:r>
        <w:rPr>
          <w:rFonts w:ascii="Arial" w:hAnsi="Arial" w:eastAsia="等线" w:cs="Arial"/>
          <w:b/>
          <w:sz w:val="22"/>
        </w:rPr>
        <w:t>存证和治理锚点</w:t>
      </w:r>
      <w:r>
        <w:rPr>
          <w:rFonts w:ascii="Arial" w:hAnsi="Arial" w:eastAsia="等线" w:cs="Arial"/>
          <w:sz w:val="22"/>
        </w:rPr>
        <w:t>，便于追溯和审计。</w:t>
      </w:r>
    </w:p>
    <w:p w14:paraId="69E4AAAA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此虚拟资产状态为</w:t>
      </w:r>
      <w:r>
        <w:rPr>
          <w:rFonts w:ascii="Consolas" w:hAnsi="Consolas" w:eastAsia="Consolas" w:cs="Consolas"/>
          <w:sz w:val="22"/>
          <w:shd w:val="clear" w:fill="EFF0F1"/>
        </w:rPr>
        <w:t>跨链锚定</w:t>
      </w:r>
      <w:r>
        <w:rPr>
          <w:rFonts w:ascii="Arial" w:hAnsi="Arial" w:eastAsia="等线" w:cs="Arial"/>
          <w:sz w:val="22"/>
        </w:rPr>
        <w:t>，并关联相应的XTZH债务。</w:t>
      </w:r>
    </w:p>
    <w:p w14:paraId="05236C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第八步：完成通知与跨链闭环</w:t>
      </w:r>
    </w:p>
    <w:p w14:paraId="16C0062E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通知用户XTZH铸造成功。</w:t>
      </w:r>
    </w:p>
    <w:p w14:paraId="73C05674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在跨链桥状态中，标记该笔锁定为“已铸造”，完成闭环。</w:t>
      </w:r>
    </w:p>
    <w:p w14:paraId="082D3962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结算XIC能耗费用。</w:t>
      </w:r>
    </w:p>
    <w:p w14:paraId="5025D7F7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2.4 跨链桥安全与风险管理</w:t>
      </w:r>
      <w:bookmarkEnd w:id="12"/>
    </w:p>
    <w:p w14:paraId="35F7B1CF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桥接额度管理</w:t>
      </w:r>
      <w:r>
        <w:rPr>
          <w:rFonts w:ascii="Arial" w:hAnsi="Arial" w:eastAsia="等线" w:cs="Arial"/>
          <w:sz w:val="22"/>
        </w:rPr>
        <w:t>：</w:t>
      </w:r>
    </w:p>
    <w:p w14:paraId="6C660FC5">
      <w:pPr>
        <w:numPr>
          <w:ilvl w:val="0"/>
          <w:numId w:val="8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单资产单日最大铸造额度：</w:t>
      </w:r>
      <w:r>
        <w:rPr>
          <w:rFonts w:ascii="Consolas" w:hAnsi="Consolas" w:eastAsia="Consolas" w:cs="Consolas"/>
          <w:sz w:val="22"/>
          <w:shd w:val="clear" w:fill="EFF0F1"/>
        </w:rPr>
        <w:t>MIN($1亿, 该资产总市值0.5%)</w:t>
      </w:r>
      <w:r>
        <w:rPr>
          <w:rFonts w:ascii="Arial" w:hAnsi="Arial" w:eastAsia="等线" w:cs="Arial"/>
          <w:sz w:val="22"/>
        </w:rPr>
        <w:t>。</w:t>
      </w:r>
    </w:p>
    <w:p w14:paraId="4264F52F">
      <w:pPr>
        <w:numPr>
          <w:ilvl w:val="0"/>
          <w:numId w:val="8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单用户单日最大铸造额度：</w:t>
      </w:r>
      <w:r>
        <w:rPr>
          <w:rFonts w:ascii="Consolas" w:hAnsi="Consolas" w:eastAsia="Consolas" w:cs="Consolas"/>
          <w:sz w:val="22"/>
          <w:shd w:val="clear" w:fill="EFF0F1"/>
        </w:rPr>
        <w:t>$1000万</w:t>
      </w:r>
      <w:r>
        <w:rPr>
          <w:rFonts w:ascii="Arial" w:hAnsi="Arial" w:eastAsia="等线" w:cs="Arial"/>
          <w:sz w:val="22"/>
        </w:rPr>
        <w:t>。</w:t>
      </w:r>
    </w:p>
    <w:p w14:paraId="6EF73EE0">
      <w:pPr>
        <w:numPr>
          <w:ilvl w:val="0"/>
          <w:numId w:val="8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动态调整：当资产波动率&gt;50%时，额度减半；&gt;80%时暂停。</w:t>
      </w:r>
    </w:p>
    <w:p w14:paraId="2EEE98D8">
      <w:pPr>
        <w:numPr>
          <w:ilvl w:val="0"/>
          <w:numId w:val="8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保险与安全基金</w:t>
      </w:r>
      <w:r>
        <w:rPr>
          <w:rFonts w:ascii="Arial" w:hAnsi="Arial" w:eastAsia="等线" w:cs="Arial"/>
          <w:sz w:val="22"/>
        </w:rPr>
        <w:t>：</w:t>
      </w:r>
    </w:p>
    <w:p w14:paraId="4AD443CD">
      <w:pPr>
        <w:numPr>
          <w:ilvl w:val="0"/>
          <w:numId w:val="9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跨链桥设有</w:t>
      </w:r>
      <w:r>
        <w:rPr>
          <w:rFonts w:ascii="Arial" w:hAnsi="Arial" w:eastAsia="等线" w:cs="Arial"/>
          <w:b/>
          <w:sz w:val="22"/>
        </w:rPr>
        <w:t>安全保险基金</w:t>
      </w:r>
      <w:r>
        <w:rPr>
          <w:rFonts w:ascii="Arial" w:hAnsi="Arial" w:eastAsia="等线" w:cs="Arial"/>
          <w:sz w:val="22"/>
        </w:rPr>
        <w:t>，初始规模</w:t>
      </w:r>
      <w:r>
        <w:rPr>
          <w:rFonts w:ascii="Consolas" w:hAnsi="Consolas" w:eastAsia="Consolas" w:cs="Consolas"/>
          <w:sz w:val="22"/>
          <w:shd w:val="clear" w:fill="EFF0F1"/>
        </w:rPr>
        <w:t>$1亿</w:t>
      </w:r>
      <w:r>
        <w:rPr>
          <w:rFonts w:ascii="Arial" w:hAnsi="Arial" w:eastAsia="等线" w:cs="Arial"/>
          <w:sz w:val="22"/>
        </w:rPr>
        <w:t>，由跨链手续费和部分XIC生态基金填充。</w:t>
      </w:r>
    </w:p>
    <w:p w14:paraId="24527613">
      <w:pPr>
        <w:numPr>
          <w:ilvl w:val="0"/>
          <w:numId w:val="9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与顶级保险公司合作，购买</w:t>
      </w:r>
      <w:r>
        <w:rPr>
          <w:rFonts w:ascii="Consolas" w:hAnsi="Consolas" w:eastAsia="Consolas" w:cs="Consolas"/>
          <w:sz w:val="22"/>
          <w:shd w:val="clear" w:fill="EFF0F1"/>
        </w:rPr>
        <w:t>$1亿</w:t>
      </w:r>
      <w:r>
        <w:rPr>
          <w:rFonts w:ascii="Arial" w:hAnsi="Arial" w:eastAsia="等线" w:cs="Arial"/>
          <w:sz w:val="22"/>
        </w:rPr>
        <w:t>额度的智能合约与托管保险。</w:t>
      </w:r>
    </w:p>
    <w:p w14:paraId="182B8926">
      <w:pPr>
        <w:numPr>
          <w:ilvl w:val="0"/>
          <w:numId w:val="9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发生桥接攻击导致资产损失时，优先使用保险赔付，不足部分由安全基金和治理投票决定的后续方案处理。</w:t>
      </w:r>
    </w:p>
    <w:p w14:paraId="17290ECB">
      <w:pPr>
        <w:numPr>
          <w:ilvl w:val="0"/>
          <w:numId w:val="9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验证者节点管理</w:t>
      </w:r>
      <w:r>
        <w:rPr>
          <w:rFonts w:ascii="Arial" w:hAnsi="Arial" w:eastAsia="等线" w:cs="Arial"/>
          <w:sz w:val="22"/>
        </w:rPr>
        <w:t>：</w:t>
      </w:r>
    </w:p>
    <w:p w14:paraId="6D2DFE1D">
      <w:pPr>
        <w:numPr>
          <w:ilvl w:val="0"/>
          <w:numId w:val="9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验证者需质押高额XIC（如100万XIC），作恶将罚没。</w:t>
      </w:r>
    </w:p>
    <w:p w14:paraId="453EB6B3">
      <w:pPr>
        <w:numPr>
          <w:ilvl w:val="0"/>
          <w:numId w:val="9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验证者身份公开，地理分散，定期轮换。</w:t>
      </w:r>
    </w:p>
    <w:p w14:paraId="29541D87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2.5 特殊跨链场景处理</w:t>
      </w:r>
      <w:bookmarkEnd w:id="13"/>
    </w:p>
    <w:p w14:paraId="7CAD47DA">
      <w:pPr>
        <w:numPr>
          <w:ilvl w:val="0"/>
          <w:numId w:val="9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传统金融资产转入</w:t>
      </w:r>
      <w:r>
        <w:rPr>
          <w:rFonts w:ascii="Arial" w:hAnsi="Arial" w:eastAsia="等线" w:cs="Arial"/>
          <w:sz w:val="22"/>
        </w:rPr>
        <w:t>：</w:t>
      </w:r>
    </w:p>
    <w:p w14:paraId="7F8CECD0">
      <w:pPr>
        <w:numPr>
          <w:ilvl w:val="0"/>
          <w:numId w:val="9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必须通过</w:t>
      </w:r>
      <w:r>
        <w:rPr>
          <w:rFonts w:ascii="Arial" w:hAnsi="Arial" w:eastAsia="等线" w:cs="Arial"/>
          <w:b/>
          <w:sz w:val="22"/>
        </w:rPr>
        <w:t>持牌托管机构</w:t>
      </w:r>
      <w:r>
        <w:rPr>
          <w:rFonts w:ascii="Arial" w:hAnsi="Arial" w:eastAsia="等线" w:cs="Arial"/>
          <w:sz w:val="22"/>
        </w:rPr>
        <w:t>作为SPV发起。</w:t>
      </w:r>
    </w:p>
    <w:p w14:paraId="24956DE3">
      <w:pPr>
        <w:numPr>
          <w:ilvl w:val="0"/>
          <w:numId w:val="9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估值直接采用传统市场公允价值。</w:t>
      </w:r>
    </w:p>
    <w:p w14:paraId="37B2B3D6">
      <w:pPr>
        <w:numPr>
          <w:ilvl w:val="0"/>
          <w:numId w:val="9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合规检查极度严格，需验证是否符合《证券法》等。</w:t>
      </w:r>
    </w:p>
    <w:p w14:paraId="61819F69">
      <w:pPr>
        <w:numPr>
          <w:ilvl w:val="0"/>
          <w:numId w:val="10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铸造的XTZH代表该传统资产的</w:t>
      </w:r>
      <w:r>
        <w:rPr>
          <w:rFonts w:ascii="Arial" w:hAnsi="Arial" w:eastAsia="等线" w:cs="Arial"/>
          <w:b/>
          <w:sz w:val="22"/>
        </w:rPr>
        <w:t>数字所有权凭证</w:t>
      </w:r>
      <w:r>
        <w:rPr>
          <w:rFonts w:ascii="Arial" w:hAnsi="Arial" w:eastAsia="等线" w:cs="Arial"/>
          <w:sz w:val="22"/>
        </w:rPr>
        <w:t>，可24/7交易。</w:t>
      </w:r>
    </w:p>
    <w:p w14:paraId="21DC20D3">
      <w:pPr>
        <w:numPr>
          <w:ilvl w:val="0"/>
          <w:numId w:val="10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已破产或问题项目资产转入</w:t>
      </w:r>
      <w:r>
        <w:rPr>
          <w:rFonts w:ascii="Arial" w:hAnsi="Arial" w:eastAsia="等线" w:cs="Arial"/>
          <w:sz w:val="22"/>
        </w:rPr>
        <w:t>：</w:t>
      </w:r>
    </w:p>
    <w:p w14:paraId="0B85BFEB">
      <w:pPr>
        <w:numPr>
          <w:ilvl w:val="0"/>
          <w:numId w:val="10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原则上禁止转入。</w:t>
      </w:r>
    </w:p>
    <w:p w14:paraId="4C338E59">
      <w:pPr>
        <w:numPr>
          <w:ilvl w:val="0"/>
          <w:numId w:val="10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如社区强烈要求，需启动治理投票，并指定第三方清算管理人，以破产清算价值为估值基础，铸造的XTZH标记为“高风险-清算中”。</w:t>
      </w:r>
    </w:p>
    <w:p w14:paraId="4E5F4275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3DC5C3D6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第三章：铸造后管理、赎回与清算</w:t>
      </w:r>
      <w:bookmarkEnd w:id="14"/>
    </w:p>
    <w:p w14:paraId="76AB148B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3.1 铸造后监控</w:t>
      </w:r>
      <w:bookmarkEnd w:id="15"/>
    </w:p>
    <w:p w14:paraId="5550A40D">
      <w:pPr>
        <w:numPr>
          <w:ilvl w:val="0"/>
          <w:numId w:val="10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资产价值重估</w:t>
      </w:r>
      <w:r>
        <w:rPr>
          <w:rFonts w:ascii="Arial" w:hAnsi="Arial" w:eastAsia="等线" w:cs="Arial"/>
          <w:sz w:val="22"/>
        </w:rPr>
        <w:t>：</w:t>
      </w:r>
    </w:p>
    <w:p w14:paraId="5225674F">
      <w:pPr>
        <w:numPr>
          <w:ilvl w:val="0"/>
          <w:numId w:val="10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RWA资产：按GNACS类别定期重估（季度/半年/年），或由价格波动事件触发。</w:t>
      </w:r>
    </w:p>
    <w:p w14:paraId="2F88A0EE">
      <w:pPr>
        <w:numPr>
          <w:ilvl w:val="0"/>
          <w:numId w:val="10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跨链虚拟资产：根据其底层逻辑定期重估（如BTC按日）。</w:t>
      </w:r>
    </w:p>
    <w:p w14:paraId="1BBD7A69">
      <w:pPr>
        <w:numPr>
          <w:ilvl w:val="0"/>
          <w:numId w:val="10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重估导致 </w:t>
      </w:r>
      <w:r>
        <w:rPr>
          <w:rFonts w:ascii="Consolas" w:hAnsi="Consolas" w:eastAsia="Consolas" w:cs="Consolas"/>
          <w:sz w:val="22"/>
          <w:shd w:val="clear" w:fill="EFF0F1"/>
        </w:rPr>
        <w:t>V_xtzh</w:t>
      </w:r>
      <w:r>
        <w:rPr>
          <w:rFonts w:ascii="Arial" w:hAnsi="Arial" w:eastAsia="等线" w:cs="Arial"/>
          <w:sz w:val="22"/>
        </w:rPr>
        <w:t xml:space="preserve"> 变化，进而影响 </w:t>
      </w:r>
      <w:r>
        <w:rPr>
          <w:rFonts w:ascii="Consolas" w:hAnsi="Consolas" w:eastAsia="Consolas" w:cs="Consolas"/>
          <w:sz w:val="22"/>
          <w:shd w:val="clear" w:fill="EFF0F1"/>
        </w:rPr>
        <w:t>M_max</w:t>
      </w:r>
      <w:r>
        <w:rPr>
          <w:rFonts w:ascii="Arial" w:hAnsi="Arial" w:eastAsia="等线" w:cs="Arial"/>
          <w:sz w:val="22"/>
        </w:rPr>
        <w:t xml:space="preserve"> 和健康因子。</w:t>
      </w:r>
    </w:p>
    <w:p w14:paraId="34FB6ED4">
      <w:pPr>
        <w:numPr>
          <w:ilvl w:val="0"/>
          <w:numId w:val="10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黄金储备再平衡</w:t>
      </w:r>
      <w:r>
        <w:rPr>
          <w:rFonts w:ascii="Arial" w:hAnsi="Arial" w:eastAsia="等线" w:cs="Arial"/>
          <w:sz w:val="22"/>
        </w:rPr>
        <w:t>：</w:t>
      </w:r>
    </w:p>
    <w:p w14:paraId="152C7E3A">
      <w:pPr>
        <w:numPr>
          <w:ilvl w:val="0"/>
          <w:numId w:val="10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每日计算系统整体GCR，维持在1.0-1.1区间。</w:t>
      </w:r>
    </w:p>
    <w:p w14:paraId="58CAF559">
      <w:pPr>
        <w:numPr>
          <w:ilvl w:val="0"/>
          <w:numId w:val="11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通过微调黄金持仓或发行/回购XTZH进行再平衡。</w:t>
      </w:r>
    </w:p>
    <w:p w14:paraId="57B76EAC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3.2 赎回流程</w:t>
      </w:r>
      <w:bookmarkEnd w:id="16"/>
    </w:p>
    <w:p w14:paraId="07E334EF">
      <w:pPr>
        <w:numPr>
          <w:ilvl w:val="0"/>
          <w:numId w:val="1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条件</w:t>
      </w:r>
      <w:r>
        <w:rPr>
          <w:rFonts w:ascii="Arial" w:hAnsi="Arial" w:eastAsia="等线" w:cs="Arial"/>
          <w:sz w:val="22"/>
        </w:rPr>
        <w:t>：健康因子 HF &gt; 1.5，且资产无其他限制。</w:t>
      </w:r>
    </w:p>
    <w:p w14:paraId="4B64A34C">
      <w:pPr>
        <w:numPr>
          <w:ilvl w:val="0"/>
          <w:numId w:val="1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流程</w:t>
      </w:r>
      <w:r>
        <w:rPr>
          <w:rFonts w:ascii="Arial" w:hAnsi="Arial" w:eastAsia="等线" w:cs="Arial"/>
          <w:sz w:val="22"/>
        </w:rPr>
        <w:t>：用户销毁指定数量XTZH -&gt; 系统解除对应黄金储备锚定并平仓 -&gt; 释放对应价值的RWA资产所有权（或解锁跨链资产）-&gt; 资产转回用户。</w:t>
      </w:r>
    </w:p>
    <w:p w14:paraId="0D179ED6">
      <w:pPr>
        <w:numPr>
          <w:ilvl w:val="0"/>
          <w:numId w:val="1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费用</w:t>
      </w:r>
      <w:r>
        <w:rPr>
          <w:rFonts w:ascii="Arial" w:hAnsi="Arial" w:eastAsia="等线" w:cs="Arial"/>
          <w:sz w:val="22"/>
        </w:rPr>
        <w:t>：赎回费0.1%，跨链赎回另加0.05%-0.2%。</w:t>
      </w:r>
    </w:p>
    <w:p w14:paraId="69360FD0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3.3 清算流程</w:t>
      </w:r>
      <w:bookmarkEnd w:id="17"/>
    </w:p>
    <w:p w14:paraId="15D582A9">
      <w:pPr>
        <w:numPr>
          <w:ilvl w:val="0"/>
          <w:numId w:val="1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触发</w:t>
      </w:r>
      <w:r>
        <w:rPr>
          <w:rFonts w:ascii="Arial" w:hAnsi="Arial" w:eastAsia="等线" w:cs="Arial"/>
          <w:sz w:val="22"/>
        </w:rPr>
        <w:t>：当&lt; 1.0，或资产合规状态失效，或发生违约事件。</w:t>
      </w:r>
    </w:p>
    <w:p w14:paraId="285F3305">
      <w:pPr>
        <w:numPr>
          <w:ilvl w:val="0"/>
          <w:numId w:val="1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流程</w:t>
      </w:r>
      <w:r>
        <w:rPr>
          <w:rFonts w:ascii="Arial" w:hAnsi="Arial" w:eastAsia="等线" w:cs="Arial"/>
          <w:sz w:val="22"/>
        </w:rPr>
        <w:t>：</w:t>
      </w:r>
    </w:p>
    <w:p w14:paraId="27C1FB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a. </w:t>
      </w:r>
      <w:r>
        <w:rPr>
          <w:rFonts w:ascii="Arial" w:hAnsi="Arial" w:eastAsia="等线" w:cs="Arial"/>
          <w:b/>
          <w:sz w:val="22"/>
        </w:rPr>
        <w:t>预警期</w:t>
      </w:r>
      <w:r>
        <w:rPr>
          <w:rFonts w:ascii="Arial" w:hAnsi="Arial" w:eastAsia="等线" w:cs="Arial"/>
          <w:sz w:val="22"/>
        </w:rPr>
        <w:t>&lt;1.1）：通知用户，给予24小时补充质押或部分赎回。</w:t>
      </w:r>
    </w:p>
    <w:p w14:paraId="44B289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b. </w:t>
      </w:r>
      <w:r>
        <w:rPr>
          <w:rFonts w:ascii="Arial" w:hAnsi="Arial" w:eastAsia="等线" w:cs="Arial"/>
          <w:b/>
          <w:sz w:val="22"/>
        </w:rPr>
        <w:t>清算拍卖</w:t>
      </w:r>
      <w:r>
        <w:rPr>
          <w:rFonts w:ascii="Arial" w:hAnsi="Arial" w:eastAsia="等线" w:cs="Arial"/>
          <w:sz w:val="22"/>
        </w:rPr>
        <w:t>：启动荷兰式拍卖，拍卖所得XTZH用于偿还债务。</w:t>
      </w:r>
    </w:p>
    <w:p w14:paraId="3BF783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c. </w:t>
      </w:r>
      <w:r>
        <w:rPr>
          <w:rFonts w:ascii="Arial" w:hAnsi="Arial" w:eastAsia="等线" w:cs="Arial"/>
          <w:b/>
          <w:sz w:val="22"/>
        </w:rPr>
        <w:t>债务清偿</w:t>
      </w:r>
      <w:r>
        <w:rPr>
          <w:rFonts w:ascii="Arial" w:hAnsi="Arial" w:eastAsia="等线" w:cs="Arial"/>
          <w:sz w:val="22"/>
        </w:rPr>
        <w:t>：优先偿还系统债务，剩余价值（如有）返还用户。</w:t>
      </w:r>
    </w:p>
    <w:p w14:paraId="3CE24B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d. </w:t>
      </w:r>
      <w:r>
        <w:rPr>
          <w:rFonts w:ascii="Arial" w:hAnsi="Arial" w:eastAsia="等线" w:cs="Arial"/>
          <w:b/>
          <w:sz w:val="22"/>
        </w:rPr>
        <w:t>黄金储备调整</w:t>
      </w:r>
      <w:r>
        <w:rPr>
          <w:rFonts w:ascii="Arial" w:hAnsi="Arial" w:eastAsia="等线" w:cs="Arial"/>
          <w:sz w:val="22"/>
        </w:rPr>
        <w:t>：对应被清算债务的黄金储备被平仓，释放资金。</w:t>
      </w:r>
    </w:p>
    <w:p w14:paraId="09776A4B">
      <w:pPr>
        <w:numPr>
          <w:ilvl w:val="0"/>
          <w:numId w:val="1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清算罚金</w:t>
      </w:r>
      <w:r>
        <w:rPr>
          <w:rFonts w:ascii="Arial" w:hAnsi="Arial" w:eastAsia="等线" w:cs="Arial"/>
          <w:sz w:val="22"/>
        </w:rPr>
        <w:t>：债务额的5%，注入风险准备金。</w:t>
      </w:r>
    </w:p>
    <w:p w14:paraId="38866579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24BB0F39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第四章：治理、升级与争议解决</w:t>
      </w:r>
      <w:bookmarkEnd w:id="18"/>
    </w:p>
    <w:p w14:paraId="63D3B7D4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4.1 参数治理</w:t>
      </w:r>
      <w:bookmarkEnd w:id="19"/>
    </w:p>
    <w:p w14:paraId="176543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关键参数由XIC持有者通过治理投票控制：</w:t>
      </w:r>
    </w:p>
    <w:p w14:paraId="32FA1F67">
      <w:pPr>
        <w:numPr>
          <w:ilvl w:val="0"/>
          <w:numId w:val="1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宪法级</w:t>
      </w:r>
      <w:r>
        <w:rPr>
          <w:rFonts w:ascii="Arial" w:hAnsi="Arial" w:eastAsia="等线" w:cs="Arial"/>
          <w:sz w:val="22"/>
        </w:rPr>
        <w:t>（需90%超级多数）：最低黄金覆盖率（1.25）、XTZH定价篮权重。</w:t>
      </w:r>
    </w:p>
    <w:p w14:paraId="4E443DC1">
      <w:pPr>
        <w:numPr>
          <w:ilvl w:val="0"/>
          <w:numId w:val="1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战略级</w:t>
      </w:r>
      <w:r>
        <w:rPr>
          <w:rFonts w:ascii="Arial" w:hAnsi="Arial" w:eastAsia="等线" w:cs="Arial"/>
          <w:sz w:val="22"/>
        </w:rPr>
        <w:t>（需75%超级多数）：基础质押率矩阵、跨链资产白名单。</w:t>
      </w:r>
    </w:p>
    <w:p w14:paraId="611EBD58">
      <w:pPr>
        <w:numPr>
          <w:ilvl w:val="0"/>
          <w:numId w:val="1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战术级</w:t>
      </w:r>
      <w:r>
        <w:rPr>
          <w:rFonts w:ascii="Arial" w:hAnsi="Arial" w:eastAsia="等线" w:cs="Arial"/>
          <w:sz w:val="22"/>
        </w:rPr>
        <w:t>（需66%多数）：各类调整因子权重、熔断条件阈值。</w:t>
      </w:r>
    </w:p>
    <w:p w14:paraId="3DC716F1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4.2 紧急情况处理</w:t>
      </w:r>
      <w:bookmarkEnd w:id="20"/>
    </w:p>
    <w:p w14:paraId="57216651">
      <w:pPr>
        <w:numPr>
          <w:ilvl w:val="0"/>
          <w:numId w:val="1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紧急暂停</w:t>
      </w:r>
      <w:r>
        <w:rPr>
          <w:rFonts w:ascii="Arial" w:hAnsi="Arial" w:eastAsia="等线" w:cs="Arial"/>
          <w:sz w:val="22"/>
        </w:rPr>
        <w:t>：由5人紧急委员会（技术、风险、法律专家）在极端风险下可暂停铸造功能，最长7天，需事后向治理委员会报告。</w:t>
      </w:r>
    </w:p>
    <w:p w14:paraId="7C46878C">
      <w:pPr>
        <w:numPr>
          <w:ilvl w:val="0"/>
          <w:numId w:val="1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系统升级</w:t>
      </w:r>
      <w:r>
        <w:rPr>
          <w:rFonts w:ascii="Arial" w:hAnsi="Arial" w:eastAsia="等线" w:cs="Arial"/>
          <w:sz w:val="22"/>
        </w:rPr>
        <w:t>：智能合约升级需经多签和时间锁（如7天公示期）。</w:t>
      </w:r>
    </w:p>
    <w:p w14:paraId="5E61DA99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4.3 争议解决</w:t>
      </w:r>
      <w:bookmarkEnd w:id="21"/>
    </w:p>
    <w:p w14:paraId="71301A4A">
      <w:pPr>
        <w:numPr>
          <w:ilvl w:val="0"/>
          <w:numId w:val="1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因估值、清算等产生的争议，可提交链上仲裁。</w:t>
      </w:r>
    </w:p>
    <w:p w14:paraId="01FF725D">
      <w:pPr>
        <w:numPr>
          <w:ilvl w:val="0"/>
          <w:numId w:val="1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仲裁员随机从认证专家池中选取，裁决结果由智能合约执行。</w:t>
      </w:r>
    </w:p>
    <w:p w14:paraId="415E81B7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359BAF2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第五章：附则</w:t>
      </w:r>
      <w:bookmarkEnd w:id="22"/>
    </w:p>
    <w:p w14:paraId="1625B06C">
      <w:pPr>
        <w:spacing w:before="300" w:after="120" w:line="288" w:lineRule="auto"/>
        <w:ind w:left="0"/>
        <w:jc w:val="left"/>
        <w:outlineLvl w:val="2"/>
      </w:pPr>
      <w:bookmarkStart w:id="23" w:name="heading_23"/>
      <w:r>
        <w:rPr>
          <w:rFonts w:ascii="Arial" w:hAnsi="Arial" w:eastAsia="等线" w:cs="Arial"/>
          <w:b/>
          <w:sz w:val="30"/>
        </w:rPr>
        <w:t>5.1 生效</w:t>
      </w:r>
      <w:bookmarkEnd w:id="23"/>
    </w:p>
    <w:p w14:paraId="6A89BE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本法典自治理投票通过之日起生效，成为NAC宪法体系的组成部分。</w:t>
      </w:r>
    </w:p>
    <w:p w14:paraId="4670958A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5.2 解释权</w:t>
      </w:r>
      <w:bookmarkEnd w:id="24"/>
    </w:p>
    <w:p w14:paraId="10CD7B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归NAC公链治理委员会。</w:t>
      </w:r>
    </w:p>
    <w:p w14:paraId="5B7EC923">
      <w:pPr>
        <w:spacing w:before="300" w:after="120" w:line="288" w:lineRule="auto"/>
        <w:ind w:left="0"/>
        <w:jc w:val="left"/>
        <w:outlineLvl w:val="2"/>
      </w:pPr>
      <w:bookmarkStart w:id="25" w:name="heading_25"/>
      <w:r>
        <w:rPr>
          <w:rFonts w:ascii="Arial" w:hAnsi="Arial" w:eastAsia="等线" w:cs="Arial"/>
          <w:b/>
          <w:sz w:val="30"/>
        </w:rPr>
        <w:t>5.3 修订</w:t>
      </w:r>
      <w:bookmarkEnd w:id="25"/>
    </w:p>
    <w:p w14:paraId="5E6D55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任何修订需经与生效相同的治理程序。</w:t>
      </w:r>
    </w:p>
    <w:p w14:paraId="1C80A3A2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7CFAE2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结语</w:t>
      </w:r>
    </w:p>
    <w:p w14:paraId="35DACB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法典通过构建一个从微观资产估值到宏观黄金储备联动的完整、精密、自适应的铸造体系，确保了每一枚XTZH都诞生于真实价值、成长于严格规则、守护于终极储备。这是NAC公链作为价值互联网基石的工程学表达，也是数字时代金融可信性的终极承诺。</w:t>
      </w:r>
    </w:p>
    <w:p w14:paraId="4DECFF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需要我帮你</w:t>
      </w:r>
      <w:r>
        <w:rPr>
          <w:rFonts w:ascii="Arial" w:hAnsi="Arial" w:eastAsia="等线" w:cs="Arial"/>
          <w:b/>
          <w:sz w:val="22"/>
        </w:rPr>
        <w:t>优化排版格式</w:t>
      </w:r>
      <w:r>
        <w:rPr>
          <w:rFonts w:ascii="Arial" w:hAnsi="Arial" w:eastAsia="等线" w:cs="Arial"/>
          <w:sz w:val="22"/>
        </w:rPr>
        <w:t>，让文本更适配PDF转换（调整行距、表格样式）吗？</w:t>
      </w:r>
    </w:p>
    <w:p w14:paraId="4F7C82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|（注：文档部分内容可能由 AI 生成)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2CD8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5F4E6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E4E29"/>
    <w:multiLevelType w:val="singleLevel"/>
    <w:tmpl w:val="804E4E2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25EC3C5"/>
    <w:multiLevelType w:val="singleLevel"/>
    <w:tmpl w:val="825EC3C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">
    <w:nsid w:val="845B5372"/>
    <w:multiLevelType w:val="singleLevel"/>
    <w:tmpl w:val="845B537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">
    <w:nsid w:val="8461FADE"/>
    <w:multiLevelType w:val="singleLevel"/>
    <w:tmpl w:val="8461FAD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">
    <w:nsid w:val="883B3669"/>
    <w:multiLevelType w:val="singleLevel"/>
    <w:tmpl w:val="883B366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8CAEB125"/>
    <w:multiLevelType w:val="singleLevel"/>
    <w:tmpl w:val="8CAEB12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">
    <w:nsid w:val="91995D4F"/>
    <w:multiLevelType w:val="singleLevel"/>
    <w:tmpl w:val="91995D4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">
    <w:nsid w:val="91B69C97"/>
    <w:multiLevelType w:val="singleLevel"/>
    <w:tmpl w:val="91B69C9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">
    <w:nsid w:val="9239341B"/>
    <w:multiLevelType w:val="singleLevel"/>
    <w:tmpl w:val="9239341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0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9377BC45"/>
    <w:multiLevelType w:val="singleLevel"/>
    <w:tmpl w:val="9377BC4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">
    <w:nsid w:val="98CD717A"/>
    <w:multiLevelType w:val="singleLevel"/>
    <w:tmpl w:val="98CD717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9C11E984"/>
    <w:multiLevelType w:val="singleLevel"/>
    <w:tmpl w:val="9C11E9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9D5D7490"/>
    <w:multiLevelType w:val="singleLevel"/>
    <w:tmpl w:val="9D5D749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7">
    <w:nsid w:val="9DFC6F65"/>
    <w:multiLevelType w:val="singleLevel"/>
    <w:tmpl w:val="9DFC6F6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9F81B9F9"/>
    <w:multiLevelType w:val="singleLevel"/>
    <w:tmpl w:val="9F81B9F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9">
    <w:nsid w:val="A0C93552"/>
    <w:multiLevelType w:val="singleLevel"/>
    <w:tmpl w:val="A0C935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A0F05207"/>
    <w:multiLevelType w:val="singleLevel"/>
    <w:tmpl w:val="A0F0520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1">
    <w:nsid w:val="A9AC3AA7"/>
    <w:multiLevelType w:val="singleLevel"/>
    <w:tmpl w:val="A9AC3AA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2">
    <w:nsid w:val="AAF3F3FA"/>
    <w:multiLevelType w:val="singleLevel"/>
    <w:tmpl w:val="AAF3F3FA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3">
    <w:nsid w:val="B0ED9BEA"/>
    <w:multiLevelType w:val="singleLevel"/>
    <w:tmpl w:val="B0ED9BE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4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B88D21A8"/>
    <w:multiLevelType w:val="singleLevel"/>
    <w:tmpl w:val="B88D21A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B8CEF35B"/>
    <w:multiLevelType w:val="singleLevel"/>
    <w:tmpl w:val="B8CEF35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0">
    <w:nsid w:val="BB64CFA9"/>
    <w:multiLevelType w:val="singleLevel"/>
    <w:tmpl w:val="BB64CFA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1">
    <w:nsid w:val="BCECA0B4"/>
    <w:multiLevelType w:val="singleLevel"/>
    <w:tmpl w:val="BCECA0B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2">
    <w:nsid w:val="BDA1395C"/>
    <w:multiLevelType w:val="singleLevel"/>
    <w:tmpl w:val="BDA1395C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3">
    <w:nsid w:val="BE8A4F4C"/>
    <w:multiLevelType w:val="singleLevel"/>
    <w:tmpl w:val="BE8A4F4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4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6">
    <w:nsid w:val="BF50FE6B"/>
    <w:multiLevelType w:val="singleLevel"/>
    <w:tmpl w:val="BF50FE6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7">
    <w:nsid w:val="C0915F4F"/>
    <w:multiLevelType w:val="singleLevel"/>
    <w:tmpl w:val="C0915F4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8">
    <w:nsid w:val="C4E0D24A"/>
    <w:multiLevelType w:val="singleLevel"/>
    <w:tmpl w:val="C4E0D2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C90D1B09"/>
    <w:multiLevelType w:val="singleLevel"/>
    <w:tmpl w:val="C90D1B0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1">
    <w:nsid w:val="CD699D1D"/>
    <w:multiLevelType w:val="singleLevel"/>
    <w:tmpl w:val="CD699D1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3">
    <w:nsid w:val="D1EB1714"/>
    <w:multiLevelType w:val="singleLevel"/>
    <w:tmpl w:val="D1EB171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4">
    <w:nsid w:val="D7D140E4"/>
    <w:multiLevelType w:val="singleLevel"/>
    <w:tmpl w:val="D7D140E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5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DAD3A854"/>
    <w:multiLevelType w:val="singleLevel"/>
    <w:tmpl w:val="DAD3A8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E0294EC7"/>
    <w:multiLevelType w:val="singleLevel"/>
    <w:tmpl w:val="E0294EC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9">
    <w:nsid w:val="E093A4B0"/>
    <w:multiLevelType w:val="singleLevel"/>
    <w:tmpl w:val="E093A4B0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0">
    <w:nsid w:val="E504947C"/>
    <w:multiLevelType w:val="singleLevel"/>
    <w:tmpl w:val="E504947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E7B27C5B"/>
    <w:multiLevelType w:val="singleLevel"/>
    <w:tmpl w:val="E7B27C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F3A33954"/>
    <w:multiLevelType w:val="singleLevel"/>
    <w:tmpl w:val="F3A3395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4">
    <w:nsid w:val="F4A942FE"/>
    <w:multiLevelType w:val="singleLevel"/>
    <w:tmpl w:val="F4A942F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F585BF25"/>
    <w:multiLevelType w:val="singleLevel"/>
    <w:tmpl w:val="F585BF2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7">
    <w:nsid w:val="F689643B"/>
    <w:multiLevelType w:val="singleLevel"/>
    <w:tmpl w:val="F689643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8">
    <w:nsid w:val="F7735DC9"/>
    <w:multiLevelType w:val="singleLevel"/>
    <w:tmpl w:val="F7735DC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9">
    <w:nsid w:val="FEC2EA36"/>
    <w:multiLevelType w:val="singleLevel"/>
    <w:tmpl w:val="FEC2EA3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1">
    <w:nsid w:val="01836A6D"/>
    <w:multiLevelType w:val="singleLevel"/>
    <w:tmpl w:val="01836A6D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2">
    <w:nsid w:val="0248C179"/>
    <w:multiLevelType w:val="singleLevel"/>
    <w:tmpl w:val="0248C1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63">
    <w:nsid w:val="03A63A41"/>
    <w:multiLevelType w:val="singleLevel"/>
    <w:tmpl w:val="03A63A4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4">
    <w:nsid w:val="03C240C0"/>
    <w:multiLevelType w:val="singleLevel"/>
    <w:tmpl w:val="03C240C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0709FD3E"/>
    <w:multiLevelType w:val="singleLevel"/>
    <w:tmpl w:val="0709FD3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7">
    <w:nsid w:val="0CEF100B"/>
    <w:multiLevelType w:val="singleLevel"/>
    <w:tmpl w:val="0CEF100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8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0">
    <w:nsid w:val="10D591E5"/>
    <w:multiLevelType w:val="singleLevel"/>
    <w:tmpl w:val="10D591E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1">
    <w:nsid w:val="12EADF99"/>
    <w:multiLevelType w:val="singleLevel"/>
    <w:tmpl w:val="12EADF9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2">
    <w:nsid w:val="1450273B"/>
    <w:multiLevelType w:val="singleLevel"/>
    <w:tmpl w:val="1450273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3">
    <w:nsid w:val="18F74015"/>
    <w:multiLevelType w:val="singleLevel"/>
    <w:tmpl w:val="18F740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1ACDE60F"/>
    <w:multiLevelType w:val="singleLevel"/>
    <w:tmpl w:val="1ACDE60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75">
    <w:nsid w:val="1AD50295"/>
    <w:multiLevelType w:val="singleLevel"/>
    <w:tmpl w:val="1AD5029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6">
    <w:nsid w:val="1BCBBCF0"/>
    <w:multiLevelType w:val="singleLevel"/>
    <w:tmpl w:val="1BCBBCF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7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8">
    <w:nsid w:val="21B3B1B1"/>
    <w:multiLevelType w:val="singleLevel"/>
    <w:tmpl w:val="21B3B1B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9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0">
    <w:nsid w:val="243FCF68"/>
    <w:multiLevelType w:val="singleLevel"/>
    <w:tmpl w:val="243FCF6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1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2">
    <w:nsid w:val="25B654F3"/>
    <w:multiLevelType w:val="singleLevel"/>
    <w:tmpl w:val="25B654F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3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4">
    <w:nsid w:val="2B3F3F89"/>
    <w:multiLevelType w:val="singleLevel"/>
    <w:tmpl w:val="2B3F3F8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5">
    <w:nsid w:val="2F2D79CE"/>
    <w:multiLevelType w:val="singleLevel"/>
    <w:tmpl w:val="2F2D79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6">
    <w:nsid w:val="30A0AC00"/>
    <w:multiLevelType w:val="singleLevel"/>
    <w:tmpl w:val="30A0AC0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7">
    <w:nsid w:val="30FC5B15"/>
    <w:multiLevelType w:val="singleLevel"/>
    <w:tmpl w:val="30FC5B1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8">
    <w:nsid w:val="322D85CA"/>
    <w:multiLevelType w:val="singleLevel"/>
    <w:tmpl w:val="322D85C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9">
    <w:nsid w:val="32A7AF2D"/>
    <w:multiLevelType w:val="singleLevel"/>
    <w:tmpl w:val="32A7AF2D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0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1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2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3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4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5">
    <w:nsid w:val="4A51D704"/>
    <w:multiLevelType w:val="singleLevel"/>
    <w:tmpl w:val="4A51D70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6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7">
    <w:nsid w:val="4C3D7A74"/>
    <w:multiLevelType w:val="singleLevel"/>
    <w:tmpl w:val="4C3D7A7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8">
    <w:nsid w:val="4CD1E351"/>
    <w:multiLevelType w:val="singleLevel"/>
    <w:tmpl w:val="4CD1E35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9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0">
    <w:nsid w:val="4D94DA66"/>
    <w:multiLevelType w:val="singleLevel"/>
    <w:tmpl w:val="4D94DA6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1">
    <w:nsid w:val="51C4BC33"/>
    <w:multiLevelType w:val="singleLevel"/>
    <w:tmpl w:val="51C4BC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2">
    <w:nsid w:val="54701CA1"/>
    <w:multiLevelType w:val="singleLevel"/>
    <w:tmpl w:val="54701CA1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3">
    <w:nsid w:val="58765686"/>
    <w:multiLevelType w:val="singleLevel"/>
    <w:tmpl w:val="5876568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4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5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6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7">
    <w:nsid w:val="5E29AB5A"/>
    <w:multiLevelType w:val="singleLevel"/>
    <w:tmpl w:val="5E29AB5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8">
    <w:nsid w:val="5FCE4367"/>
    <w:multiLevelType w:val="singleLevel"/>
    <w:tmpl w:val="5FCE436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9">
    <w:nsid w:val="5FFFB1A7"/>
    <w:multiLevelType w:val="singleLevel"/>
    <w:tmpl w:val="5FFFB1A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0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1">
    <w:nsid w:val="610EFE5C"/>
    <w:multiLevelType w:val="singleLevel"/>
    <w:tmpl w:val="610EFE5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2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3">
    <w:nsid w:val="65CD0074"/>
    <w:multiLevelType w:val="singleLevel"/>
    <w:tmpl w:val="65CD007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4">
    <w:nsid w:val="68B298F7"/>
    <w:multiLevelType w:val="singleLevel"/>
    <w:tmpl w:val="68B298F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5">
    <w:nsid w:val="700FDCEF"/>
    <w:multiLevelType w:val="singleLevel"/>
    <w:tmpl w:val="700FDC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6">
    <w:nsid w:val="72183CF9"/>
    <w:multiLevelType w:val="singleLevel"/>
    <w:tmpl w:val="72183CF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7">
    <w:nsid w:val="74C28B35"/>
    <w:multiLevelType w:val="singleLevel"/>
    <w:tmpl w:val="74C28B3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8">
    <w:nsid w:val="77633216"/>
    <w:multiLevelType w:val="singleLevel"/>
    <w:tmpl w:val="776332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9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0">
    <w:nsid w:val="79AA4FA4"/>
    <w:multiLevelType w:val="singleLevel"/>
    <w:tmpl w:val="79AA4FA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1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2">
    <w:nsid w:val="7DEC2089"/>
    <w:multiLevelType w:val="singleLevel"/>
    <w:tmpl w:val="7DEC2089"/>
    <w:lvl w:ilvl="0" w:tentative="0">
      <w:start w:val="0"/>
      <w:numFmt w:val="bullet"/>
      <w:lvlText w:val="￮"/>
      <w:lvlJc w:val="left"/>
      <w:rPr>
        <w:color w:val="3370FF"/>
      </w:rPr>
    </w:lvl>
  </w:abstractNum>
  <w:num w:numId="1">
    <w:abstractNumId w:val="60"/>
  </w:num>
  <w:num w:numId="2">
    <w:abstractNumId w:val="42"/>
  </w:num>
  <w:num w:numId="3">
    <w:abstractNumId w:val="104"/>
  </w:num>
  <w:num w:numId="4">
    <w:abstractNumId w:val="35"/>
  </w:num>
  <w:num w:numId="5">
    <w:abstractNumId w:val="27"/>
  </w:num>
  <w:num w:numId="6">
    <w:abstractNumId w:val="65"/>
  </w:num>
  <w:num w:numId="7">
    <w:abstractNumId w:val="82"/>
  </w:num>
  <w:num w:numId="8">
    <w:abstractNumId w:val="116"/>
  </w:num>
  <w:num w:numId="9">
    <w:abstractNumId w:val="62"/>
  </w:num>
  <w:num w:numId="10">
    <w:abstractNumId w:val="9"/>
  </w:num>
  <w:num w:numId="11">
    <w:abstractNumId w:val="83"/>
  </w:num>
  <w:num w:numId="12">
    <w:abstractNumId w:val="106"/>
  </w:num>
  <w:num w:numId="13">
    <w:abstractNumId w:val="39"/>
  </w:num>
  <w:num w:numId="14">
    <w:abstractNumId w:val="99"/>
  </w:num>
  <w:num w:numId="15">
    <w:abstractNumId w:val="55"/>
  </w:num>
  <w:num w:numId="16">
    <w:abstractNumId w:val="81"/>
  </w:num>
  <w:num w:numId="17">
    <w:abstractNumId w:val="47"/>
  </w:num>
  <w:num w:numId="18">
    <w:abstractNumId w:val="45"/>
  </w:num>
  <w:num w:numId="19">
    <w:abstractNumId w:val="15"/>
  </w:num>
  <w:num w:numId="20">
    <w:abstractNumId w:val="96"/>
  </w:num>
  <w:num w:numId="21">
    <w:abstractNumId w:val="110"/>
  </w:num>
  <w:num w:numId="22">
    <w:abstractNumId w:val="68"/>
  </w:num>
  <w:num w:numId="23">
    <w:abstractNumId w:val="94"/>
  </w:num>
  <w:num w:numId="24">
    <w:abstractNumId w:val="24"/>
  </w:num>
  <w:num w:numId="25">
    <w:abstractNumId w:val="121"/>
  </w:num>
  <w:num w:numId="26">
    <w:abstractNumId w:val="119"/>
  </w:num>
  <w:num w:numId="27">
    <w:abstractNumId w:val="34"/>
  </w:num>
  <w:num w:numId="28">
    <w:abstractNumId w:val="112"/>
  </w:num>
  <w:num w:numId="29">
    <w:abstractNumId w:val="10"/>
  </w:num>
  <w:num w:numId="30">
    <w:abstractNumId w:val="91"/>
  </w:num>
  <w:num w:numId="31">
    <w:abstractNumId w:val="4"/>
  </w:num>
  <w:num w:numId="32">
    <w:abstractNumId w:val="103"/>
  </w:num>
  <w:num w:numId="33">
    <w:abstractNumId w:val="122"/>
  </w:num>
  <w:num w:numId="34">
    <w:abstractNumId w:val="1"/>
  </w:num>
  <w:num w:numId="35">
    <w:abstractNumId w:val="80"/>
  </w:num>
  <w:num w:numId="36">
    <w:abstractNumId w:val="100"/>
  </w:num>
  <w:num w:numId="37">
    <w:abstractNumId w:val="58"/>
  </w:num>
  <w:num w:numId="38">
    <w:abstractNumId w:val="49"/>
  </w:num>
  <w:num w:numId="39">
    <w:abstractNumId w:val="87"/>
  </w:num>
  <w:num w:numId="40">
    <w:abstractNumId w:val="120"/>
  </w:num>
  <w:num w:numId="41">
    <w:abstractNumId w:val="30"/>
  </w:num>
  <w:num w:numId="42">
    <w:abstractNumId w:val="7"/>
  </w:num>
  <w:num w:numId="43">
    <w:abstractNumId w:val="29"/>
  </w:num>
  <w:num w:numId="44">
    <w:abstractNumId w:val="107"/>
  </w:num>
  <w:num w:numId="45">
    <w:abstractNumId w:val="3"/>
  </w:num>
  <w:num w:numId="46">
    <w:abstractNumId w:val="74"/>
  </w:num>
  <w:num w:numId="47">
    <w:abstractNumId w:val="6"/>
  </w:num>
  <w:num w:numId="48">
    <w:abstractNumId w:val="109"/>
  </w:num>
  <w:num w:numId="49">
    <w:abstractNumId w:val="117"/>
  </w:num>
  <w:num w:numId="50">
    <w:abstractNumId w:val="97"/>
  </w:num>
  <w:num w:numId="51">
    <w:abstractNumId w:val="88"/>
  </w:num>
  <w:num w:numId="52">
    <w:abstractNumId w:val="113"/>
  </w:num>
  <w:num w:numId="53">
    <w:abstractNumId w:val="66"/>
  </w:num>
  <w:num w:numId="54">
    <w:abstractNumId w:val="67"/>
  </w:num>
  <w:num w:numId="55">
    <w:abstractNumId w:val="44"/>
  </w:num>
  <w:num w:numId="56">
    <w:abstractNumId w:val="89"/>
  </w:num>
  <w:num w:numId="57">
    <w:abstractNumId w:val="77"/>
  </w:num>
  <w:num w:numId="58">
    <w:abstractNumId w:val="52"/>
  </w:num>
  <w:num w:numId="59">
    <w:abstractNumId w:val="79"/>
  </w:num>
  <w:num w:numId="60">
    <w:abstractNumId w:val="26"/>
  </w:num>
  <w:num w:numId="61">
    <w:abstractNumId w:val="93"/>
  </w:num>
  <w:num w:numId="62">
    <w:abstractNumId w:val="69"/>
  </w:num>
  <w:num w:numId="63">
    <w:abstractNumId w:val="90"/>
  </w:num>
  <w:num w:numId="64">
    <w:abstractNumId w:val="63"/>
  </w:num>
  <w:num w:numId="65">
    <w:abstractNumId w:val="37"/>
  </w:num>
  <w:num w:numId="66">
    <w:abstractNumId w:val="71"/>
  </w:num>
  <w:num w:numId="67">
    <w:abstractNumId w:val="25"/>
  </w:num>
  <w:num w:numId="68">
    <w:abstractNumId w:val="92"/>
  </w:num>
  <w:num w:numId="69">
    <w:abstractNumId w:val="20"/>
  </w:num>
  <w:num w:numId="70">
    <w:abstractNumId w:val="57"/>
  </w:num>
  <w:num w:numId="71">
    <w:abstractNumId w:val="86"/>
  </w:num>
  <w:num w:numId="72">
    <w:abstractNumId w:val="59"/>
  </w:num>
  <w:num w:numId="73">
    <w:abstractNumId w:val="73"/>
  </w:num>
  <w:num w:numId="74">
    <w:abstractNumId w:val="115"/>
  </w:num>
  <w:num w:numId="75">
    <w:abstractNumId w:val="50"/>
  </w:num>
  <w:num w:numId="76">
    <w:abstractNumId w:val="38"/>
  </w:num>
  <w:num w:numId="77">
    <w:abstractNumId w:val="19"/>
  </w:num>
  <w:num w:numId="78">
    <w:abstractNumId w:val="118"/>
  </w:num>
  <w:num w:numId="79">
    <w:abstractNumId w:val="46"/>
  </w:num>
  <w:num w:numId="80">
    <w:abstractNumId w:val="28"/>
  </w:num>
  <w:num w:numId="81">
    <w:abstractNumId w:val="85"/>
  </w:num>
  <w:num w:numId="82">
    <w:abstractNumId w:val="51"/>
  </w:num>
  <w:num w:numId="83">
    <w:abstractNumId w:val="13"/>
  </w:num>
  <w:num w:numId="84">
    <w:abstractNumId w:val="105"/>
  </w:num>
  <w:num w:numId="85">
    <w:abstractNumId w:val="32"/>
  </w:num>
  <w:num w:numId="86">
    <w:abstractNumId w:val="23"/>
  </w:num>
  <w:num w:numId="87">
    <w:abstractNumId w:val="11"/>
  </w:num>
  <w:num w:numId="88">
    <w:abstractNumId w:val="16"/>
  </w:num>
  <w:num w:numId="89">
    <w:abstractNumId w:val="22"/>
  </w:num>
  <w:num w:numId="90">
    <w:abstractNumId w:val="8"/>
  </w:num>
  <w:num w:numId="91">
    <w:abstractNumId w:val="76"/>
  </w:num>
  <w:num w:numId="92">
    <w:abstractNumId w:val="33"/>
  </w:num>
  <w:num w:numId="93">
    <w:abstractNumId w:val="72"/>
  </w:num>
  <w:num w:numId="94">
    <w:abstractNumId w:val="43"/>
  </w:num>
  <w:num w:numId="95">
    <w:abstractNumId w:val="114"/>
  </w:num>
  <w:num w:numId="96">
    <w:abstractNumId w:val="0"/>
  </w:num>
  <w:num w:numId="97">
    <w:abstractNumId w:val="31"/>
  </w:num>
  <w:num w:numId="98">
    <w:abstractNumId w:val="56"/>
  </w:num>
  <w:num w:numId="99">
    <w:abstractNumId w:val="98"/>
  </w:num>
  <w:num w:numId="100">
    <w:abstractNumId w:val="70"/>
  </w:num>
  <w:num w:numId="101">
    <w:abstractNumId w:val="14"/>
  </w:num>
  <w:num w:numId="102">
    <w:abstractNumId w:val="48"/>
  </w:num>
  <w:num w:numId="103">
    <w:abstractNumId w:val="75"/>
  </w:num>
  <w:num w:numId="104">
    <w:abstractNumId w:val="95"/>
  </w:num>
  <w:num w:numId="105">
    <w:abstractNumId w:val="21"/>
  </w:num>
  <w:num w:numId="106">
    <w:abstractNumId w:val="111"/>
  </w:num>
  <w:num w:numId="107">
    <w:abstractNumId w:val="2"/>
  </w:num>
  <w:num w:numId="108">
    <w:abstractNumId w:val="5"/>
  </w:num>
  <w:num w:numId="109">
    <w:abstractNumId w:val="61"/>
  </w:num>
  <w:num w:numId="110">
    <w:abstractNumId w:val="18"/>
  </w:num>
  <w:num w:numId="111">
    <w:abstractNumId w:val="36"/>
  </w:num>
  <w:num w:numId="112">
    <w:abstractNumId w:val="40"/>
  </w:num>
  <w:num w:numId="113">
    <w:abstractNumId w:val="54"/>
  </w:num>
  <w:num w:numId="114">
    <w:abstractNumId w:val="108"/>
  </w:num>
  <w:num w:numId="115">
    <w:abstractNumId w:val="53"/>
  </w:num>
  <w:num w:numId="116">
    <w:abstractNumId w:val="102"/>
  </w:num>
  <w:num w:numId="117">
    <w:abstractNumId w:val="78"/>
  </w:num>
  <w:num w:numId="118">
    <w:abstractNumId w:val="12"/>
  </w:num>
  <w:num w:numId="119">
    <w:abstractNumId w:val="64"/>
  </w:num>
  <w:num w:numId="120">
    <w:abstractNumId w:val="17"/>
  </w:num>
  <w:num w:numId="121">
    <w:abstractNumId w:val="84"/>
  </w:num>
  <w:num w:numId="122">
    <w:abstractNumId w:val="101"/>
  </w:num>
  <w:num w:numId="12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F65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4938</Words>
  <Characters>5854</Characters>
  <TotalTime>1509</TotalTime>
  <ScaleCrop>false</ScaleCrop>
  <LinksUpToDate>false</LinksUpToDate>
  <CharactersWithSpaces>6026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2026-01-19T05:16:00Z</dcterms:created>
  <dc:creator>Apache POI</dc:creator>
  <cp:lastModifiedBy>无为天下</cp:lastModifiedBy>
  <dcterms:modified xsi:type="dcterms:W3CDTF">2026-01-20T17:23:15Z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B9C27AC21B2D4C9A8CC7158D2E4E27F3_13</vt:lpwstr>
  </property>
</Properties>
</file>