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XTZH汇率定价AI模型架构与训练计划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  <w:br/>
      </w: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：NAC人工智能实验室 · 宏观经济建模组</w:t>
        <w:br/>
      </w:r>
      <w:r>
        <w:rPr>
          <w:rFonts w:eastAsia="等线" w:ascii="Arial" w:cs="Arial" w:hAnsi="Arial"/>
          <w:b w:val="true"/>
          <w:sz w:val="22"/>
        </w:rPr>
        <w:t>关联协议</w:t>
      </w:r>
      <w:r>
        <w:rPr>
          <w:rFonts w:eastAsia="等线" w:ascii="Arial" w:cs="Arial" w:hAnsi="Arial"/>
          <w:sz w:val="22"/>
        </w:rPr>
        <w:t>：XTZH汇率定价模型 v1.0、ACC-20 v36</w:t>
        <w:br/>
      </w: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>：2026年2月12日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执行摘要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XTZH的汇率不是由单一资产固定锚定，而是由</w:t>
      </w:r>
      <w:r>
        <w:rPr>
          <w:rFonts w:eastAsia="等线" w:ascii="Arial" w:cs="Arial" w:hAnsi="Arial"/>
          <w:b w:val="true"/>
          <w:sz w:val="22"/>
        </w:rPr>
        <w:t>货币、黄金、18种核心商品</w:t>
      </w:r>
      <w:r>
        <w:rPr>
          <w:rFonts w:eastAsia="等线" w:ascii="Arial" w:cs="Arial" w:hAnsi="Arial"/>
          <w:sz w:val="22"/>
        </w:rPr>
        <w:t>三大类资产通过</w:t>
      </w:r>
      <w:r>
        <w:rPr>
          <w:rFonts w:eastAsia="等线" w:ascii="Arial" w:cs="Arial" w:hAnsi="Arial"/>
          <w:b w:val="true"/>
          <w:sz w:val="22"/>
        </w:rPr>
        <w:t>动态权重融合</w:t>
      </w:r>
      <w:r>
        <w:rPr>
          <w:rFonts w:eastAsia="等线" w:ascii="Arial" w:cs="Arial" w:hAnsi="Arial"/>
          <w:sz w:val="22"/>
        </w:rPr>
        <w:t>产生。权重的调整由</w:t>
      </w:r>
      <w:r>
        <w:rPr>
          <w:rFonts w:eastAsia="等线" w:ascii="Arial" w:cs="Arial" w:hAnsi="Arial"/>
          <w:b w:val="true"/>
          <w:sz w:val="22"/>
        </w:rPr>
        <w:t>AI宏观感知引擎</w:t>
      </w:r>
      <w:r>
        <w:rPr>
          <w:rFonts w:eastAsia="等线" w:ascii="Arial" w:cs="Arial" w:hAnsi="Arial"/>
          <w:sz w:val="22"/>
        </w:rPr>
        <w:t>驱动，其核心任务是：</w:t>
      </w:r>
      <w:r>
        <w:rPr>
          <w:rFonts w:eastAsia="等线" w:ascii="Arial" w:cs="Arial" w:hAnsi="Arial"/>
          <w:b w:val="true"/>
          <w:sz w:val="22"/>
        </w:rPr>
        <w:t>使XTZH汇率的日度变化成为次日五大宏观指数（就业、CPI、PPI、PMI、供应链指数）的最优线性预测因子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本文件完整定义该AI系统的</w:t>
      </w:r>
      <w:r>
        <w:rPr>
          <w:rFonts w:eastAsia="等线" w:ascii="Arial" w:cs="Arial" w:hAnsi="Arial"/>
          <w:b w:val="true"/>
          <w:sz w:val="22"/>
        </w:rPr>
        <w:t>模型架构、特征工程、训练目标、数据策略、部署方案及治理机制</w:t>
      </w:r>
      <w:r>
        <w:rPr>
          <w:rFonts w:eastAsia="等线" w:ascii="Arial" w:cs="Arial" w:hAnsi="Arial"/>
          <w:sz w:val="22"/>
        </w:rPr>
        <w:t>。系统预计于2026年Q3完成训练并上线主网，初始版本将以</w:t>
      </w:r>
      <w:r>
        <w:rPr>
          <w:rFonts w:eastAsia="等线" w:ascii="Arial" w:cs="Arial" w:hAnsi="Arial"/>
          <w:b w:val="true"/>
          <w:sz w:val="22"/>
        </w:rPr>
        <w:t>链下预言机+链上验证</w:t>
      </w:r>
      <w:r>
        <w:rPr>
          <w:rFonts w:eastAsia="等线" w:ascii="Arial" w:cs="Arial" w:hAnsi="Arial"/>
          <w:sz w:val="22"/>
        </w:rPr>
        <w:t>混合模式运行，成熟后迁移至NVM专用指令。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第一部分：系统目标与设计原则</w:t>
      </w:r>
      <w:bookmarkEnd w:id="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1.1 核心目标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给定时刻 \(t\) 的</w:t>
      </w:r>
      <w:r>
        <w:rPr>
          <w:rFonts w:eastAsia="等线" w:ascii="Arial" w:cs="Arial" w:hAnsi="Arial"/>
          <w:b w:val="true"/>
          <w:sz w:val="22"/>
        </w:rPr>
        <w:t>宏观状态向量</w:t>
      </w:r>
      <w:r>
        <w:rPr>
          <w:rFonts w:eastAsia="等线" w:ascii="Arial" w:cs="Arial" w:hAnsi="Arial"/>
          <w:sz w:val="22"/>
        </w:rPr>
        <w:t xml:space="preserve"> \(M_t\)，输出：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三层动态权重</w:t>
      </w:r>
      <w:r>
        <w:rPr>
          <w:rFonts w:eastAsia="等线" w:ascii="Arial" w:cs="Arial" w:hAnsi="Arial"/>
          <w:sz w:val="22"/>
        </w:rPr>
        <w:t xml:space="preserve"> \(w_{FX}(t), w_{Au}(t), w_{COM}(t)\)，满足 \(w_{FX}+w_{Au}+w_{COM}=1\)，且长期均值收敛于静态基准（40%、10%、50%）。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18种商品的权重偏离系数</w:t>
      </w:r>
      <w:r>
        <w:rPr>
          <w:rFonts w:eastAsia="等线" w:ascii="Arial" w:cs="Arial" w:hAnsi="Arial"/>
          <w:sz w:val="22"/>
        </w:rPr>
        <w:t xml:space="preserve"> \(\Delta_{j,t}\)，满足 \(\sum \beta_j \Delta_{j,t} = 0\)，且 \(|\Delta_{j,t}| \leq 0.3\)。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使得由上述权重计算出的XTZH汇率 \(X_t\) 满足：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>
        <m:r>
          <w:rPr>
            <w:rFonts w:ascii="Cambria Math" w:hAnsi="Cambria Math"/>
          </w:rPr>
          <w:t>\Delta Y_{i,t+1} = \alpha_i + \beta_i \cdot \Delta X_t + \epsilon_{i,t}, \quad i=1,\dots,5
</w:t>
        </m:r>
      </m:oMath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的拟合优度 \(R^2_i\) 最大化，其中 \(\Delta Y_{i,t+1}\) 为第 \(i\) 个宏观指数次日的实际变化。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终极目标</w:t>
      </w:r>
      <w:r>
        <w:rPr>
          <w:rFonts w:eastAsia="等线" w:ascii="Arial" w:cs="Arial" w:hAnsi="Arial"/>
          <w:sz w:val="22"/>
        </w:rPr>
        <w:t>：XTZH成为</w:t>
      </w:r>
      <w:r>
        <w:rPr>
          <w:rFonts w:eastAsia="等线" w:ascii="Arial" w:cs="Arial" w:hAnsi="Arial"/>
          <w:b w:val="true"/>
          <w:sz w:val="22"/>
        </w:rPr>
        <w:t>全球宏观景气度的实时数字温度计</w:t>
      </w:r>
      <w:r>
        <w:rPr>
          <w:rFonts w:eastAsia="等线" w:ascii="Arial" w:cs="Arial" w:hAnsi="Arial"/>
          <w:sz w:val="22"/>
        </w:rPr>
        <w:t>，其汇率变动本身即包含对次日经济数据的前瞻信息。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1.2 设计原则</w:t>
      </w:r>
      <w:bookmarkEnd w:id="3"/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因果优先，而非相关</w:t>
      </w:r>
      <w:r>
        <w:rPr>
          <w:rFonts w:eastAsia="等线" w:ascii="Arial" w:cs="Arial" w:hAnsi="Arial"/>
          <w:sz w:val="22"/>
        </w:rPr>
        <w:t>：模型必须学习宏观状态与资产定价权重的</w:t>
      </w:r>
      <w:r>
        <w:rPr>
          <w:rFonts w:eastAsia="等线" w:ascii="Arial" w:cs="Arial" w:hAnsi="Arial"/>
          <w:b w:val="true"/>
          <w:sz w:val="22"/>
        </w:rPr>
        <w:t>稳定经济关系</w:t>
      </w:r>
      <w:r>
        <w:rPr>
          <w:rFonts w:eastAsia="等线" w:ascii="Arial" w:cs="Arial" w:hAnsi="Arial"/>
          <w:sz w:val="22"/>
        </w:rPr>
        <w:t>，避免过拟合历史价格动量。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可解释性</w:t>
      </w:r>
      <w:r>
        <w:rPr>
          <w:rFonts w:eastAsia="等线" w:ascii="Arial" w:cs="Arial" w:hAnsi="Arial"/>
          <w:sz w:val="22"/>
        </w:rPr>
        <w:t>：每一笔权重调整必须能回溯至具体的宏观特征变化，拒绝黑箱。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鲁棒性</w:t>
      </w:r>
      <w:r>
        <w:rPr>
          <w:rFonts w:eastAsia="等线" w:ascii="Arial" w:cs="Arial" w:hAnsi="Arial"/>
          <w:sz w:val="22"/>
        </w:rPr>
        <w:t>：对数据缺失、异常值、市场结构突变具有容忍度。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可验证性</w:t>
      </w:r>
      <w:r>
        <w:rPr>
          <w:rFonts w:eastAsia="等线" w:ascii="Arial" w:cs="Arial" w:hAnsi="Arial"/>
          <w:sz w:val="22"/>
        </w:rPr>
        <w:t>：模型推理过程可在链上通过零知识证明或可信执行环境验证。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渐进式治理</w:t>
      </w:r>
      <w:r>
        <w:rPr>
          <w:rFonts w:eastAsia="等线" w:ascii="Arial" w:cs="Arial" w:hAnsi="Arial"/>
          <w:sz w:val="22"/>
        </w:rPr>
        <w:t>：模型版本更新需经过治理投票，紧急情况可回滚至静态权重。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4" w:id="4"/>
      <w:r>
        <w:rPr>
          <w:rFonts w:eastAsia="等线" w:ascii="Arial" w:cs="Arial" w:hAnsi="Arial"/>
          <w:b w:val="true"/>
          <w:sz w:val="36"/>
        </w:rPr>
        <w:t>第二部分：数据架构与特征工程</w:t>
      </w:r>
      <w:bookmarkEnd w:id="4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2.1 数据源全景</w:t>
      </w:r>
      <w:bookmarkEnd w:id="5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类别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数据项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频率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来源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历史长度</w:t>
            </w:r>
          </w:p>
        </w:tc>
      </w:tr>
      <w:tr>
        <w:tc>
          <w:tcPr>
            <w:tcW w:w="1650" w:type="dxa"/>
            <w:vMerge w:val="restart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宏观指数（标签）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 xml:space="preserve">美国非农就业人数（月）→ </w:t>
            </w:r>
            <w:r>
              <w:rPr>
                <w:rFonts w:eastAsia="等线" w:ascii="Arial" w:cs="Arial" w:hAnsi="Arial"/>
                <w:sz w:val="22"/>
              </w:rPr>
              <w:t>日频插值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月/日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BLS, 宏观预测机构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1990-2026</w:t>
            </w:r>
          </w:p>
        </w:tc>
      </w:tr>
      <w:tr>
        <w:tc>
          <w:tcPr>
            <w:tcW w:w="1650" w:type="dxa"/>
            <w:vMerge w:val="continue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美国CPI（月）→</w:t>
            </w:r>
            <w:r>
              <w:rPr>
                <w:rFonts w:eastAsia="等线" w:ascii="Arial" w:cs="Arial" w:hAnsi="Arial"/>
                <w:sz w:val="22"/>
              </w:rPr>
              <w:t xml:space="preserve"> 日频插值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月/日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BLS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1990-2026</w:t>
            </w:r>
          </w:p>
        </w:tc>
      </w:tr>
      <w:tr>
        <w:tc>
          <w:tcPr>
            <w:tcW w:w="1650" w:type="dxa"/>
            <w:vMerge w:val="continue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美国PPI（月）→ 日频</w:t>
            </w:r>
            <w:r>
              <w:rPr>
                <w:rFonts w:eastAsia="等线" w:ascii="Arial" w:cs="Arial" w:hAnsi="Arial"/>
                <w:sz w:val="22"/>
              </w:rPr>
              <w:t>插值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月/日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BLS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1990-2026</w:t>
            </w:r>
          </w:p>
        </w:tc>
      </w:tr>
      <w:tr>
        <w:tc>
          <w:tcPr>
            <w:tcW w:w="1650" w:type="dxa"/>
            <w:vMerge w:val="continue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全球制造业PMI（月）→</w:t>
            </w:r>
            <w:r>
              <w:rPr>
                <w:rFonts w:eastAsia="等线" w:ascii="Arial" w:cs="Arial" w:hAnsi="Arial"/>
                <w:sz w:val="22"/>
              </w:rPr>
              <w:t xml:space="preserve"> 日频插值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月/日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J.P.Morgan, Markit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2000-2026</w:t>
            </w:r>
          </w:p>
        </w:tc>
      </w:tr>
      <w:tr>
        <w:tc>
          <w:tcPr>
            <w:tcW w:w="1650" w:type="dxa"/>
            <w:vMerge w:val="continue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上海集装箱运价指数SC</w:t>
            </w:r>
            <w:r>
              <w:rPr>
                <w:rFonts w:eastAsia="等线" w:ascii="Arial" w:cs="Arial" w:hAnsi="Arial"/>
                <w:sz w:val="22"/>
              </w:rPr>
              <w:t>FI（周）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周/日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上海航交所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2009-2026</w:t>
            </w:r>
          </w:p>
        </w:tc>
      </w:tr>
      <w:tr>
        <w:tc>
          <w:tcPr>
            <w:tcW w:w="1650" w:type="dxa"/>
            <w:vMerge w:val="restart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资产价格（输入）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6种货币兑SDR汇率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IMF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1990-2026</w:t>
            </w:r>
          </w:p>
        </w:tc>
      </w:tr>
      <w:tr>
        <w:tc>
          <w:tcPr>
            <w:tcW w:w="1650" w:type="dxa"/>
            <w:vMerge w:val="continue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黄金LBMA价格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LBMA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1990-2026</w:t>
            </w:r>
          </w:p>
        </w:tc>
      </w:tr>
      <w:tr>
        <w:tc>
          <w:tcPr>
            <w:tcW w:w="1650" w:type="dxa"/>
            <w:vMerge w:val="continue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18种商品价格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LME, CBOT,</w:t>
            </w:r>
            <w:r>
              <w:rPr>
                <w:rFonts w:eastAsia="等线" w:ascii="Arial" w:cs="Arial" w:hAnsi="Arial"/>
                <w:sz w:val="22"/>
              </w:rPr>
              <w:t xml:space="preserve"> ICE等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2000-2026</w:t>
            </w:r>
          </w:p>
        </w:tc>
      </w:tr>
      <w:tr>
        <w:tc>
          <w:tcPr>
            <w:tcW w:w="1650" w:type="dxa"/>
            <w:vMerge w:val="restart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宏观状态特征（输入）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各国央行政策利率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日（事件）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各国</w:t>
            </w:r>
            <w:r>
              <w:rPr>
                <w:rFonts w:eastAsia="等线" w:ascii="Arial" w:cs="Arial" w:hAnsi="Arial"/>
                <w:sz w:val="22"/>
              </w:rPr>
              <w:t>央行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1990-2026</w:t>
            </w:r>
          </w:p>
        </w:tc>
      </w:tr>
      <w:tr>
        <w:tc>
          <w:tcPr>
            <w:tcW w:w="1650" w:type="dxa"/>
            <w:vMerge w:val="continue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通胀预期（盈亏平衡通胀</w:t>
            </w:r>
            <w:r>
              <w:rPr>
                <w:rFonts w:eastAsia="等线" w:ascii="Arial" w:cs="Arial" w:hAnsi="Arial"/>
                <w:sz w:val="22"/>
              </w:rPr>
              <w:t>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Bloomberg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2000-2026</w:t>
            </w:r>
          </w:p>
        </w:tc>
      </w:tr>
      <w:tr>
        <w:tc>
          <w:tcPr>
            <w:tcW w:w="1650" w:type="dxa"/>
            <w:vMerge w:val="continue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全球波动率指数VIX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CBOE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1990-2026</w:t>
            </w:r>
          </w:p>
        </w:tc>
      </w:tr>
      <w:tr>
        <w:tc>
          <w:tcPr>
            <w:tcW w:w="1650" w:type="dxa"/>
            <w:vMerge w:val="continue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美元指数DXY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ICE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1990-2026</w:t>
            </w:r>
          </w:p>
        </w:tc>
      </w:tr>
      <w:tr>
        <w:tc>
          <w:tcPr>
            <w:tcW w:w="1650" w:type="dxa"/>
            <w:vMerge w:val="continue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地缘政治风险指数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 xml:space="preserve">Caldara </w:t>
            </w:r>
            <w:r>
              <w:rPr>
                <w:rFonts w:eastAsia="等线" w:ascii="Arial" w:cs="Arial" w:hAnsi="Arial"/>
                <w:sz w:val="22"/>
              </w:rPr>
              <w:t>&amp; Iacoviello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2000-2026</w:t>
            </w:r>
          </w:p>
        </w:tc>
      </w:tr>
      <w:tr>
        <w:tc>
          <w:tcPr>
            <w:tcW w:w="1650" w:type="dxa"/>
            <w:vMerge w:val="continue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供应链压力指数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NY Fed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2018-2026</w:t>
            </w:r>
          </w:p>
        </w:tc>
      </w:tr>
      <w:tr>
        <w:tc>
          <w:tcPr>
            <w:tcW w:w="1650" w:type="dxa"/>
            <w:vMerge w:val="continue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各国PMI初值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月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Markit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2000-2026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2.2 特征构造</w:t>
      </w:r>
      <w:bookmarkEnd w:id="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最终宏观状态向量 \(M_t\) 由以下</w:t>
      </w:r>
      <w:r>
        <w:rPr>
          <w:rFonts w:eastAsia="等线" w:ascii="Arial" w:cs="Arial" w:hAnsi="Arial"/>
          <w:b w:val="true"/>
          <w:sz w:val="22"/>
        </w:rPr>
        <w:t>50维特征</w:t>
      </w:r>
      <w:r>
        <w:rPr>
          <w:rFonts w:eastAsia="等线" w:ascii="Arial" w:cs="Arial" w:hAnsi="Arial"/>
          <w:sz w:val="22"/>
        </w:rPr>
        <w:t>组成（每类包含当期值、1阶差分、5日移动平均）：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全球增长因子</w:t>
      </w:r>
      <w:r>
        <w:rPr>
          <w:rFonts w:eastAsia="等线" w:ascii="Arial" w:cs="Arial" w:hAnsi="Arial"/>
          <w:sz w:val="22"/>
        </w:rPr>
        <w:t>（10维）</w:t>
        <w:br/>
        <w:t>- 全球PMI综合指数（标化）</w:t>
        <w:br/>
        <w:t>- 美国ISM制造业PMI</w:t>
        <w:br/>
        <w:t>- 中国官方制造业PMI</w:t>
        <w:br/>
        <w:t>- 欧元区ZEW经济景气指数</w:t>
        <w:br/>
        <w:t>- OECD综合领先指标（CLI）</w:t>
        <w:br/>
      </w:r>
      <w:r>
        <w:rPr>
          <w:rFonts w:eastAsia="等线" w:ascii="Arial" w:cs="Arial" w:hAnsi="Arial"/>
          <w:sz w:val="22"/>
        </w:rPr>
        <w:t>- ……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通胀压力因子</w:t>
      </w:r>
      <w:r>
        <w:rPr>
          <w:rFonts w:eastAsia="等线" w:ascii="Arial" w:cs="Arial" w:hAnsi="Arial"/>
          <w:sz w:val="22"/>
        </w:rPr>
        <w:t>（8维）</w:t>
        <w:br/>
        <w:t>- 美国盈亏平衡通胀率（5年、10年）</w:t>
        <w:br/>
        <w:t>- 大宗商品CRB指数同比</w:t>
        <w:br/>
        <w:t>- 原油价格同比</w:t>
        <w:br/>
      </w:r>
      <w:r>
        <w:rPr>
          <w:rFonts w:eastAsia="等线" w:ascii="Arial" w:cs="Arial" w:hAnsi="Arial"/>
          <w:sz w:val="22"/>
        </w:rPr>
        <w:t>- 供应链压力指数（NY Fed）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货币政策立场</w:t>
      </w:r>
      <w:r>
        <w:rPr>
          <w:rFonts w:eastAsia="等线" w:ascii="Arial" w:cs="Arial" w:hAnsi="Arial"/>
          <w:sz w:val="22"/>
        </w:rPr>
        <w:t>（6维）</w:t>
        <w:br/>
        <w:t>- 美联储政策利率预期（OIS隐含）</w:t>
        <w:br/>
        <w:t>- 欧央行、中国人民银行政策利差</w:t>
        <w:br/>
      </w:r>
      <w:r>
        <w:rPr>
          <w:rFonts w:eastAsia="等线" w:ascii="Arial" w:cs="Arial" w:hAnsi="Arial"/>
          <w:sz w:val="22"/>
        </w:rPr>
        <w:t>- 全球负收益率债券规模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风险与不确定性</w:t>
      </w:r>
      <w:r>
        <w:rPr>
          <w:rFonts w:eastAsia="等线" w:ascii="Arial" w:cs="Arial" w:hAnsi="Arial"/>
          <w:sz w:val="22"/>
        </w:rPr>
        <w:t>（8维）</w:t>
        <w:br/>
        <w:t>- VIX指数</w:t>
        <w:br/>
        <w:t>- 地缘政治风险指数</w:t>
        <w:br/>
        <w:t>- 美国投资级/高收益债利差</w:t>
        <w:br/>
      </w:r>
      <w:r>
        <w:rPr>
          <w:rFonts w:eastAsia="等线" w:ascii="Arial" w:cs="Arial" w:hAnsi="Arial"/>
          <w:sz w:val="22"/>
        </w:rPr>
        <w:t>- 汇率波动预期（JPY、CNH）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实体活动高频代理</w:t>
      </w:r>
      <w:r>
        <w:rPr>
          <w:rFonts w:eastAsia="等线" w:ascii="Arial" w:cs="Arial" w:hAnsi="Arial"/>
          <w:sz w:val="22"/>
        </w:rPr>
        <w:t>（10维）</w:t>
        <w:br/>
        <w:t>- 中国沿海主要枢纽港吞吐量</w:t>
        <w:br/>
        <w:t>- 美国铁路货运量</w:t>
        <w:br/>
        <w:t>- 韩国出口同比（全球贸易领先指标）</w:t>
        <w:br/>
      </w:r>
      <w:r>
        <w:rPr>
          <w:rFonts w:eastAsia="等线" w:ascii="Arial" w:cs="Arial" w:hAnsi="Arial"/>
          <w:sz w:val="22"/>
        </w:rPr>
        <w:t>- 全球航班数量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商品市场内部结构</w:t>
      </w:r>
      <w:r>
        <w:rPr>
          <w:rFonts w:eastAsia="等线" w:ascii="Arial" w:cs="Arial" w:hAnsi="Arial"/>
          <w:sz w:val="22"/>
        </w:rPr>
        <w:t>（8维）</w:t>
        <w:br/>
        <w:t>- 黄金ETF持仓量</w:t>
        <w:br/>
        <w:t>- 铜期货期限结构（近远月价差）</w:t>
        <w:br/>
        <w:t>- 原油裂解价差</w:t>
        <w:br/>
      </w:r>
      <w:r>
        <w:rPr>
          <w:rFonts w:eastAsia="等线" w:ascii="Arial" w:cs="Arial" w:hAnsi="Arial"/>
          <w:sz w:val="22"/>
        </w:rPr>
        <w:t>- 农产品库存消费比估计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所有特征均进行</w:t>
      </w:r>
      <w:r>
        <w:rPr>
          <w:rFonts w:eastAsia="等线" w:ascii="Arial" w:cs="Arial" w:hAnsi="Arial"/>
          <w:b w:val="true"/>
          <w:sz w:val="22"/>
        </w:rPr>
        <w:t>z-score标准化</w:t>
      </w:r>
      <w:r>
        <w:rPr>
          <w:rFonts w:eastAsia="等线" w:ascii="Arial" w:cs="Arial" w:hAnsi="Arial"/>
          <w:sz w:val="22"/>
        </w:rPr>
        <w:t>，并采用</w:t>
      </w:r>
      <w:r>
        <w:rPr>
          <w:rFonts w:eastAsia="等线" w:ascii="Arial" w:cs="Arial" w:hAnsi="Arial"/>
          <w:b w:val="true"/>
          <w:sz w:val="22"/>
        </w:rPr>
        <w:t>卡尔曼滤波</w:t>
      </w:r>
      <w:r>
        <w:rPr>
          <w:rFonts w:eastAsia="等线" w:ascii="Arial" w:cs="Arial" w:hAnsi="Arial"/>
          <w:sz w:val="22"/>
        </w:rPr>
        <w:t>处理日频插值与发布时滞。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2.3 训练集与验证集划分</w:t>
      </w:r>
      <w:bookmarkEnd w:id="7"/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训练期</w:t>
      </w:r>
      <w:r>
        <w:rPr>
          <w:rFonts w:eastAsia="等线" w:ascii="Arial" w:cs="Arial" w:hAnsi="Arial"/>
          <w:sz w:val="22"/>
        </w:rPr>
        <w:t>：2000年1月1日 – 2023年12月31日（约6,000个交易日）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验证期1（超参调优）</w:t>
      </w:r>
      <w:r>
        <w:rPr>
          <w:rFonts w:eastAsia="等线" w:ascii="Arial" w:cs="Arial" w:hAnsi="Arial"/>
          <w:sz w:val="22"/>
        </w:rPr>
        <w:t>：2024年1月1日 – 2025年6月30日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验证期2（最终测试）</w:t>
      </w:r>
      <w:r>
        <w:rPr>
          <w:rFonts w:eastAsia="等线" w:ascii="Arial" w:cs="Arial" w:hAnsi="Arial"/>
          <w:sz w:val="22"/>
        </w:rPr>
        <w:t>：2025年7月1日 – 2026年1月31日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实时验证</w:t>
      </w:r>
      <w:r>
        <w:rPr>
          <w:rFonts w:eastAsia="等线" w:ascii="Arial" w:cs="Arial" w:hAnsi="Arial"/>
          <w:sz w:val="22"/>
        </w:rPr>
        <w:t>：2026年2月1日至今（模拟交易）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采用</w:t>
      </w:r>
      <w:r>
        <w:rPr>
          <w:rFonts w:eastAsia="等线" w:ascii="Arial" w:cs="Arial" w:hAnsi="Arial"/>
          <w:b w:val="true"/>
          <w:sz w:val="22"/>
        </w:rPr>
        <w:t>时间序列滚动交叉验证</w:t>
      </w:r>
      <w:r>
        <w:rPr>
          <w:rFonts w:eastAsia="等线" w:ascii="Arial" w:cs="Arial" w:hAnsi="Arial"/>
          <w:sz w:val="22"/>
        </w:rPr>
        <w:t>：以5年为训练窗口，1年为验证窗口，步长1年。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8" w:id="8"/>
      <w:r>
        <w:rPr>
          <w:rFonts w:eastAsia="等线" w:ascii="Arial" w:cs="Arial" w:hAnsi="Arial"/>
          <w:b w:val="true"/>
          <w:sz w:val="36"/>
        </w:rPr>
        <w:t>第三部分：模型架构</w:t>
      </w:r>
      <w:bookmarkEnd w:id="8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3.1 整体设计（双阶段注意力）</w:t>
      </w:r>
      <w:bookmarkEnd w:id="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宏观状态向量 M_t (50维)</w:t>
              <w:br/>
              <w:t xml:space="preserve">         ↓</w:t>
              <w:br/>
              <w:t>┌────────────────────────────────────┐</w:t>
              <w:br/>
              <w:t>│    Transformer编码器（4层）        │</w:t>
              <w:br/>
              <w:t>│   (自注意力 + 前馈网络)            │</w:t>
              <w:br/>
              <w:t>└────────────────────────────────────┘</w:t>
              <w:br/>
              <w:t xml:space="preserve">         ↓</w:t>
              <w:br/>
              <w:t xml:space="preserve">   宏观上下文向量 C_t (128维)</w:t>
              <w:br/>
              <w:t xml:space="preserve">         ↓</w:t>
              <w:br/>
              <w:t>┌────────────────────────────────────┐</w:t>
              <w:br/>
              <w:t>│      第一层注意力（三层权重）      │</w:t>
              <w:br/>
              <w:t>│   Q = W_Q·C_t, K = W_K·E_layer    │</w:t>
              <w:br/>
              <w:t>│   E_layer: 3个资产层嵌入向量       │</w:t>
              <w:br/>
              <w:t>└────────────────────────────────────┘</w:t>
              <w:br/>
              <w:t xml:space="preserve">         ↓</w:t>
              <w:br/>
              <w:t xml:space="preserve">    w_FX, w_Au, w_COM (softmax)</w:t>
              <w:br/>
              <w:t xml:space="preserve">         ↓</w:t>
              <w:br/>
              <w:t>┌────────────────────────────────────┐</w:t>
              <w:br/>
              <w:t>│    第二层注意力（商品内偏离）      │</w:t>
              <w:br/>
              <w:t>│   Q' = W_Q'·C_t                   │</w:t>
              <w:br/>
              <w:t>│   K' = W_K'·[商品嵌入矩阵] (18×16)│</w:t>
              <w:br/>
              <w:t>│   V' = 商品权重先验 β_j           │</w:t>
              <w:br/>
              <w:t>└────────────────────────────────────┘</w:t>
              <w:br/>
              <w:t xml:space="preserve">         ↓</w:t>
              <w:br/>
              <w:t xml:space="preserve">    Δ_j (零和调整，clipped)</w:t>
              <w:br/>
              <w:t xml:space="preserve">         ↓</w:t>
              <w:br/>
              <w:t>┌────────────────────────────────────┐</w:t>
              <w:br/>
              <w:t>│         XTZH汇率计算模块           │</w:t>
              <w:br/>
              <w:t>│    (可微分，参与训练)              │</w:t>
              <w:br/>
              <w:t>└────────────────────────────────────┘</w:t>
              <w:br/>
              <w:t xml:space="preserve">         ↓</w:t>
              <w:br/>
              <w:t xml:space="preserve">   预测：五大宏观指数次日变化</w:t>
              <w:br/>
              <w:t xml:space="preserve">         ↓</w:t>
              <w:br/>
              <w:t xml:space="preserve">   损失</w:t>
            </w:r>
            <w:r>
              <w:rPr>
                <w:rFonts w:eastAsia="Consolas" w:ascii="Consolas" w:cs="Consolas" w:hAnsi="Consolas"/>
                <w:sz w:val="22"/>
              </w:rPr>
              <w:t>函数（多任务MSE + 正则项）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3.2 详细组件</w:t>
      </w:r>
      <w:bookmarkEnd w:id="1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1. Transformer编码器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输入：\(M_t \in \mathbb{R}^{50}\)</w:t>
      </w:r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4层Transformer，每层8个注意力头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前馈网络维度256，Dropout 0.1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输出：上下文向量 \(C_t \in \mathbb{R}^{128}\)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2. 第一层注意力（资产层权重）</w:t>
      </w: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资产层嵌入矩阵 \(E_{layer} \in \mathbb{R}^{3 \times 32}\)（可学习）</w:t>
      </w:r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Query: \(Q = C_t W_Q\)，\(W_Q \in \mathbb{R}^{128 \times 32}\)</w:t>
      </w:r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Key: \(K = E_{layer} W_K\)，\(W_K \in \mathbb{R}^{32 \times 32}\)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注意力得分：\(s = Q K^\top / \sqrt{32}\)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权重偏置：\(\alpha = \text{softmax}(s)\)</w:t>
      </w:r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最终权重：\(w = \text{softmax}(\log(w^{static}) + \gamma \cdot \alpha)\)，\(\gamma\)为可学习温度参数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3. 第二层注意力（商品内偏离）</w:t>
      </w:r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商品嵌入矩阵 \(E_{com} \in \mathbb{R}^{18 \times 16}\)（可学习，初始化为GNACS分类的one-hot投影）</w:t>
      </w:r>
    </w:p>
    <w:p>
      <w:pPr>
        <w:numPr>
          <w:numId w:val="2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Query: \(Q' = C_t W_Q'\)，\(W_Q' \in \mathbb{R}^{128 \times 16}\)</w:t>
      </w:r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Key: \(K' = E_{com} W_K'\)，\(W_K' \in \mathbb{R}^{16 \times 16}\)</w:t>
      </w:r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注意力得分：\(s' = Q' K'^\top\)（输出18维）</w:t>
      </w:r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原始偏离：\(\Delta' = \eta \cdot (s' - \text{mean}(s'))\)，\(\eta\)可学习缩放</w:t>
      </w:r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零和投影：\(\Delta_j = \Delta'_j - \sum_{k=1}^{18} \beta_k \Delta'_k\)（确保加权和为零）</w:t>
      </w:r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限幅：\(\Delta_j = \text{clip}(\Delta_j, -0.3, 0.3)\)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4. XTZH汇率计算（可微分）</w:t>
      </w:r>
    </w:p>
    <w:p>
      <w:pPr>
        <w:numPr>
          <w:numId w:val="3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货币层指数 \(I_{FX}(t)\)、黄金有效价格 \(G_{eff}(t)\)、商品层指数 \(\tilde{I}_{COM}(t)\) 均为</w:t>
      </w:r>
      <w:r>
        <w:rPr>
          <w:rFonts w:eastAsia="等线" w:ascii="Arial" w:cs="Arial" w:hAnsi="Arial"/>
          <w:b w:val="true"/>
          <w:sz w:val="22"/>
        </w:rPr>
        <w:t>输入特征</w:t>
      </w:r>
      <w:r>
        <w:rPr>
          <w:rFonts w:eastAsia="等线" w:ascii="Arial" w:cs="Arial" w:hAnsi="Arial"/>
          <w:sz w:val="22"/>
        </w:rPr>
        <w:t>（提前计算）</w:t>
      </w:r>
    </w:p>
    <w:p>
      <w:pPr>
        <w:numPr>
          <w:numId w:val="3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输出汇率：\(X_t = w_{FX} I_{FX} + w_{Au} G_{eff} + w_{COM} \tilde{I}_{COM}\)</w:t>
      </w:r>
    </w:p>
    <w:p>
      <w:pPr>
        <w:numPr>
          <w:numId w:val="3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日度变化：\(\Delta X_t = X_t - X_{t-1}\)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5. 宏观预测头</w:t>
      </w:r>
    </w:p>
    <w:p>
      <w:pPr>
        <w:numPr>
          <w:numId w:val="3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5个独立的线性层，输入 \(C_t\)，输出次日宏观指数变化预测 \(\hat{\Delta Y}_{i,t+1}\)</w:t>
      </w:r>
    </w:p>
    <w:p>
      <w:pPr>
        <w:numPr>
          <w:numId w:val="3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与XTZH汇率变化预测并列，共享底层编码器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3.3 损失函数</w:t>
      </w:r>
      <w:bookmarkEnd w:id="1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>
        <m:r>
          <w:rPr>
            <w:rFonts w:ascii="Cambria Math" w:hAnsi="Cambria Math"/>
          </w:rPr>
          <w:t>\mathcal{L} = \underbrace{\sum_{i=1}^5 \lambda_i \cdot \text{MSE}(\Delta Y_{i,t+1}, \hat{\Delta Y}_{i,t+1})}_{\text{宏观预测任务}} + \underbrace{\mu_1 \cdot \text{TV}(w_t)}_{\text{权重平滑}} + \underbrace{\mu_2 \cdot \sum_{j=1}^{18} \beta_j |\Delta_{j,t}|}_{\text{偏离稀疏}} + \underbrace{\mu_3 \cdot \|C_t\|_2}_{\text{编码正则}}
</w:t>
        </m:r>
      </m:oMath>
    </w:p>
    <w:p>
      <w:pPr>
        <w:numPr>
          <w:numId w:val="4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\(\lambda_i\)：各宏观指标的重要性权重，由治理投票每年确定（当前：就业0.25，CPI 0.25，PPI 0.2，PMI 0.2，供应链0.1）</w:t>
      </w:r>
    </w:p>
    <w:p>
      <w:pPr>
        <w:numPr>
          <w:numId w:val="4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\(\text{TV}(w_t)\)：三层权重的总变差，惩罚日间剧烈跳动</w:t>
      </w:r>
    </w:p>
    <w:p>
      <w:pPr>
        <w:numPr>
          <w:numId w:val="4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偏离稀疏项：鼓励仅对少数关键商品进行偏离调整</w:t>
      </w:r>
    </w:p>
    <w:p>
      <w:pPr>
        <w:numPr>
          <w:numId w:val="4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编码正则：防止过拟合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特别说明</w:t>
      </w:r>
      <w:r>
        <w:rPr>
          <w:rFonts w:eastAsia="等线" w:ascii="Arial" w:cs="Arial" w:hAnsi="Arial"/>
          <w:sz w:val="22"/>
        </w:rPr>
        <w:t>：我们不直接监督XTZH汇率本身，而是通过“宏观预测”间接监督权重生成器。这是实现“宏观温度计”目标的核心设计。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2" w:id="12"/>
      <w:r>
        <w:rPr>
          <w:rFonts w:eastAsia="等线" w:ascii="Arial" w:cs="Arial" w:hAnsi="Arial"/>
          <w:b w:val="true"/>
          <w:sz w:val="36"/>
        </w:rPr>
        <w:t>第四部分：训练计划</w:t>
      </w:r>
      <w:bookmarkEnd w:id="12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4.1 阶段1：特征与基线模型（2个月）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目标</w:t>
      </w:r>
      <w:r>
        <w:rPr>
          <w:rFonts w:eastAsia="等线" w:ascii="Arial" w:cs="Arial" w:hAnsi="Arial"/>
          <w:sz w:val="22"/>
        </w:rPr>
        <w:t>：建立稳定、完整的历史特征库，训练简单线性/树模型作为基准。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产出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4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50维宏观状态向量日频序列（2000–2026）</w:t>
      </w:r>
    </w:p>
    <w:p>
      <w:pPr>
        <w:numPr>
          <w:numId w:val="4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18种商品以SDR计价的日频价格序列</w:t>
      </w:r>
    </w:p>
    <w:p>
      <w:pPr>
        <w:numPr>
          <w:numId w:val="4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使用</w:t>
      </w:r>
      <w:r>
        <w:rPr>
          <w:rFonts w:eastAsia="等线" w:ascii="Arial" w:cs="Arial" w:hAnsi="Arial"/>
          <w:b w:val="true"/>
          <w:sz w:val="22"/>
        </w:rPr>
        <w:t>线性回归</w:t>
      </w:r>
      <w:r>
        <w:rPr>
          <w:rFonts w:eastAsia="等线" w:ascii="Arial" w:cs="Arial" w:hAnsi="Arial"/>
          <w:sz w:val="22"/>
        </w:rPr>
        <w:t>、</w:t>
      </w:r>
      <w:r>
        <w:rPr>
          <w:rFonts w:eastAsia="等线" w:ascii="Arial" w:cs="Arial" w:hAnsi="Arial"/>
          <w:b w:val="true"/>
          <w:sz w:val="22"/>
        </w:rPr>
        <w:t>随机森林</w:t>
      </w:r>
      <w:r>
        <w:rPr>
          <w:rFonts w:eastAsia="等线" w:ascii="Arial" w:cs="Arial" w:hAnsi="Arial"/>
          <w:sz w:val="22"/>
        </w:rPr>
        <w:t>训练从宏观状态直接预测五大指数，作为性能下界。</w:t>
      </w:r>
    </w:p>
    <w:p>
      <w:pPr>
        <w:numPr>
          <w:numId w:val="4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确定各宏观指数的贝塔系数与可预测性。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4.2 阶段2：无监督预训练（1个月）</w:t>
      </w:r>
      <w:bookmarkEnd w:id="1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目标</w:t>
      </w:r>
      <w:r>
        <w:rPr>
          <w:rFonts w:eastAsia="等线" w:ascii="Arial" w:cs="Arial" w:hAnsi="Arial"/>
          <w:sz w:val="22"/>
        </w:rPr>
        <w:t>：利用海量未标记宏观数据，预训练Transformer编码器。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方法</w:t>
      </w:r>
      <w:r>
        <w:rPr>
          <w:rFonts w:eastAsia="等线" w:ascii="Arial" w:cs="Arial" w:hAnsi="Arial"/>
          <w:sz w:val="22"/>
        </w:rPr>
        <w:t>：掩码自编码（Masked Autoencoder）</w:t>
      </w:r>
    </w:p>
    <w:p>
      <w:pPr>
        <w:numPr>
          <w:numId w:val="4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随机遮盖20%的宏观特征，要求模型重建完整50维向量。</w:t>
      </w:r>
    </w:p>
    <w:p>
      <w:pPr>
        <w:numPr>
          <w:numId w:val="4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损失函数：MSE。</w:t>
      </w:r>
    </w:p>
    <w:p>
      <w:pPr>
        <w:numPr>
          <w:numId w:val="5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预训练后编码器具备宏观状态压缩能力。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4.3 阶段3：端到端有监督训练（3个月）</w:t>
      </w:r>
      <w:bookmarkEnd w:id="1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目标</w:t>
      </w:r>
      <w:r>
        <w:rPr>
          <w:rFonts w:eastAsia="等线" w:ascii="Arial" w:cs="Arial" w:hAnsi="Arial"/>
          <w:sz w:val="22"/>
        </w:rPr>
        <w:t>：联合训练整个模型（编码器+注意力+预测头）。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策略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5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优化器：AdamW，初始学习率3e-4，余弦退火衰减。</w:t>
      </w:r>
    </w:p>
    <w:p>
      <w:pPr>
        <w:numPr>
          <w:numId w:val="5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批量大小：64（时间序列连续采样，每批次随机抽取64个交易日及其次日标签）。</w:t>
      </w:r>
    </w:p>
    <w:p>
      <w:pPr>
        <w:numPr>
          <w:numId w:val="5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梯度裁剪：全局范数1.0。</w:t>
      </w:r>
    </w:p>
    <w:p>
      <w:pPr>
        <w:numPr>
          <w:numId w:val="5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早停：验证集损失连续10轮不降则停止。</w:t>
      </w:r>
    </w:p>
    <w:p>
      <w:pPr>
        <w:numPr>
          <w:numId w:val="5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硬件：4×A100 80GB，预计训练时间10天。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超参数搜索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5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Transformer层数（2–6）</w:t>
      </w:r>
    </w:p>
    <w:p>
      <w:pPr>
        <w:numPr>
          <w:numId w:val="5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注意力头数（4–12）</w:t>
      </w:r>
    </w:p>
    <w:p>
      <w:pPr>
        <w:numPr>
          <w:numId w:val="5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嵌入维度（64–256）</w:t>
      </w:r>
    </w:p>
    <w:p>
      <w:pPr>
        <w:numPr>
          <w:numId w:val="5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损失权重 \(\mu_1, \mu_2, \mu_3\)（网格搜索）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模型集成</w:t>
      </w:r>
      <w:r>
        <w:rPr>
          <w:rFonts w:eastAsia="等线" w:ascii="Arial" w:cs="Arial" w:hAnsi="Arial"/>
          <w:sz w:val="22"/>
        </w:rPr>
        <w:t>：训练5个不同随机种子的模型，推理时取平均权重。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6" w:id="16"/>
      <w:r>
        <w:rPr>
          <w:rFonts w:eastAsia="等线" w:ascii="Arial" w:cs="Arial" w:hAnsi="Arial"/>
          <w:b w:val="true"/>
          <w:sz w:val="32"/>
        </w:rPr>
        <w:t>4.4 阶段4：鲁棒性测试与压力测试（1个月）</w:t>
      </w:r>
      <w:bookmarkEnd w:id="1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测试内容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6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缺失数据</w:t>
      </w:r>
      <w:r>
        <w:rPr>
          <w:rFonts w:eastAsia="等线" w:ascii="Arial" w:cs="Arial" w:hAnsi="Arial"/>
          <w:sz w:val="22"/>
        </w:rPr>
        <w:t>：随机删除20%宏观特征，测试推理稳定性。</w:t>
      </w:r>
    </w:p>
    <w:p>
      <w:pPr>
        <w:numPr>
          <w:numId w:val="6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极端行情</w:t>
      </w:r>
      <w:r>
        <w:rPr>
          <w:rFonts w:eastAsia="等线" w:ascii="Arial" w:cs="Arial" w:hAnsi="Arial"/>
          <w:sz w:val="22"/>
        </w:rPr>
        <w:t>：2020年3月、2008年9月等危机期间模型表现。</w:t>
      </w:r>
    </w:p>
    <w:p>
      <w:pPr>
        <w:numPr>
          <w:numId w:val="6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对抗攻击</w:t>
      </w:r>
      <w:r>
        <w:rPr>
          <w:rFonts w:eastAsia="等线" w:ascii="Arial" w:cs="Arial" w:hAnsi="Arial"/>
          <w:sz w:val="22"/>
        </w:rPr>
        <w:t>：模拟对手试图通过操纵特征影响权重（如拉升某商品价格），检测模型敏感度。</w:t>
      </w:r>
    </w:p>
    <w:p>
      <w:pPr>
        <w:numPr>
          <w:numId w:val="6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回测交易</w:t>
      </w:r>
      <w:r>
        <w:rPr>
          <w:rFonts w:eastAsia="等线" w:ascii="Arial" w:cs="Arial" w:hAnsi="Arial"/>
          <w:sz w:val="22"/>
        </w:rPr>
        <w:t>：使用XTZH模拟账户，在验证期2运行完整汇率计算，评估宏观预测R²。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通过标准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6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验证期2上五大宏观指数平均R² ≥ 0.65</w:t>
      </w:r>
    </w:p>
    <w:p>
      <w:pPr>
        <w:numPr>
          <w:numId w:val="6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任何单一指数R² ≥ 0.5</w:t>
      </w:r>
    </w:p>
    <w:p>
      <w:pPr>
        <w:numPr>
          <w:numId w:val="6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极端行情下XTZH汇率波动率 ≤ SDR波动率×2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7" w:id="17"/>
      <w:r>
        <w:rPr>
          <w:rFonts w:eastAsia="等线" w:ascii="Arial" w:cs="Arial" w:hAnsi="Arial"/>
          <w:b w:val="true"/>
          <w:sz w:val="32"/>
        </w:rPr>
        <w:t>4.5 阶段5：链上适配与预言机部署（1个月）</w:t>
      </w:r>
      <w:bookmarkEnd w:id="1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目标</w:t>
      </w:r>
      <w:r>
        <w:rPr>
          <w:rFonts w:eastAsia="等线" w:ascii="Arial" w:cs="Arial" w:hAnsi="Arial"/>
          <w:sz w:val="22"/>
        </w:rPr>
        <w:t>：将训练好的模型转换为可部署于NAC预言机网络的形式。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技术路线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6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使用</w:t>
      </w:r>
      <w:r>
        <w:rPr>
          <w:rFonts w:eastAsia="等线" w:ascii="Arial" w:cs="Arial" w:hAnsi="Arial"/>
          <w:b w:val="true"/>
          <w:sz w:val="22"/>
        </w:rPr>
        <w:t>ONNX</w:t>
      </w:r>
      <w:r>
        <w:rPr>
          <w:rFonts w:eastAsia="等线" w:ascii="Arial" w:cs="Arial" w:hAnsi="Arial"/>
          <w:sz w:val="22"/>
        </w:rPr>
        <w:t>或</w:t>
      </w:r>
      <w:r>
        <w:rPr>
          <w:rFonts w:eastAsia="等线" w:ascii="Arial" w:cs="Arial" w:hAnsi="Arial"/>
          <w:b w:val="true"/>
          <w:sz w:val="22"/>
        </w:rPr>
        <w:t>TorchScript</w:t>
      </w:r>
      <w:r>
        <w:rPr>
          <w:rFonts w:eastAsia="等线" w:ascii="Arial" w:cs="Arial" w:hAnsi="Arial"/>
          <w:sz w:val="22"/>
        </w:rPr>
        <w:t>导出模型，并量化至INT8（推理速度提升3倍，精度损失&lt;1%）。</w:t>
      </w:r>
    </w:p>
    <w:p>
      <w:pPr>
        <w:numPr>
          <w:numId w:val="6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编写NVM 2.0专用指令 </w:t>
      </w:r>
      <w:r>
        <w:rPr>
          <w:rFonts w:eastAsia="Consolas" w:ascii="Consolas" w:cs="Consolas" w:hAnsi="Consolas"/>
          <w:sz w:val="22"/>
          <w:shd w:fill="EFF0F1"/>
        </w:rPr>
        <w:t>XTZH_GET_RATE</w:t>
      </w:r>
      <w:r>
        <w:rPr>
          <w:rFonts w:eastAsia="等线" w:ascii="Arial" w:cs="Arial" w:hAnsi="Arial"/>
          <w:sz w:val="22"/>
        </w:rPr>
        <w:t>，内嵌模型权重矩阵，单次推理Gas成本 &lt; 50,000。</w:t>
      </w:r>
    </w:p>
    <w:p>
      <w:pPr>
        <w:numPr>
          <w:numId w:val="6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设计</w:t>
      </w:r>
      <w:r>
        <w:rPr>
          <w:rFonts w:eastAsia="等线" w:ascii="Arial" w:cs="Arial" w:hAnsi="Arial"/>
          <w:b w:val="true"/>
          <w:sz w:val="22"/>
        </w:rPr>
        <w:t>多预言机聚合</w:t>
      </w:r>
      <w:r>
        <w:rPr>
          <w:rFonts w:eastAsia="等线" w:ascii="Arial" w:cs="Arial" w:hAnsi="Arial"/>
          <w:sz w:val="22"/>
        </w:rPr>
        <w:t>方案：至少3个独立节点运行模型，取中位数作为最终汇率，签名上链。</w:t>
      </w:r>
    </w:p>
    <w:p>
      <w:pPr>
        <w:numPr>
          <w:numId w:val="7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部署</w:t>
      </w:r>
      <w:r>
        <w:rPr>
          <w:rFonts w:eastAsia="等线" w:ascii="Arial" w:cs="Arial" w:hAnsi="Arial"/>
          <w:b w:val="true"/>
          <w:sz w:val="22"/>
        </w:rPr>
        <w:t>紧急回滚开关</w:t>
      </w:r>
      <w:r>
        <w:rPr>
          <w:rFonts w:eastAsia="等线" w:ascii="Arial" w:cs="Arial" w:hAnsi="Arial"/>
          <w:sz w:val="22"/>
        </w:rPr>
        <w:t>：当模型推理汇率与静态权重汇率偏离超过±15%时，自动切换至静态权重，并触发治理警报。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8" w:id="18"/>
      <w:r>
        <w:rPr>
          <w:rFonts w:eastAsia="等线" w:ascii="Arial" w:cs="Arial" w:hAnsi="Arial"/>
          <w:b w:val="true"/>
          <w:sz w:val="36"/>
        </w:rPr>
        <w:t>第五部分：监控与持续学习</w:t>
      </w:r>
      <w:bookmarkEnd w:id="18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9" w:id="19"/>
      <w:r>
        <w:rPr>
          <w:rFonts w:eastAsia="等线" w:ascii="Arial" w:cs="Arial" w:hAnsi="Arial"/>
          <w:b w:val="true"/>
          <w:sz w:val="32"/>
        </w:rPr>
        <w:t>5.1 实时监控仪表盘</w:t>
      </w:r>
      <w:bookmarkEnd w:id="1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指标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说明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异常阈值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宏观预测R²（滚动30日）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对次日五大指数的预测能力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&lt;0.5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权重日波动率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三层权重的日标准差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&gt;5%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商品偏离绝对值均值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18个Δ绝对值的加权平均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&gt;0.1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模型推理延迟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从请求到输出汇率的p</w:t>
            </w:r>
            <w:r>
              <w:rPr>
                <w:rFonts w:eastAsia="等线" w:ascii="Arial" w:cs="Arial" w:hAnsi="Arial"/>
                <w:sz w:val="22"/>
              </w:rPr>
              <w:t>99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&gt;500ms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预言机共识分歧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不同节点输出汇率的最大差异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&gt;0.5%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0" w:id="20"/>
      <w:r>
        <w:rPr>
          <w:rFonts w:eastAsia="等线" w:ascii="Arial" w:cs="Arial" w:hAnsi="Arial"/>
          <w:b w:val="true"/>
          <w:sz w:val="32"/>
        </w:rPr>
        <w:t>5.2 持续学习策略</w:t>
      </w:r>
      <w:bookmarkEnd w:id="20"/>
    </w:p>
    <w:p>
      <w:pPr>
        <w:numPr>
          <w:numId w:val="7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每日增量训练</w:t>
      </w:r>
      <w:r>
        <w:rPr>
          <w:rFonts w:eastAsia="等线" w:ascii="Arial" w:cs="Arial" w:hAnsi="Arial"/>
          <w:sz w:val="22"/>
        </w:rPr>
        <w:t>：每日新数据加入后，在后台对模型进行微调（1 epoch），验证通过后生成候选版本。</w:t>
      </w:r>
    </w:p>
    <w:p>
      <w:pPr>
        <w:numPr>
          <w:numId w:val="7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版本冻结</w:t>
      </w:r>
      <w:r>
        <w:rPr>
          <w:rFonts w:eastAsia="等线" w:ascii="Arial" w:cs="Arial" w:hAnsi="Arial"/>
          <w:sz w:val="22"/>
        </w:rPr>
        <w:t>：候选版本需经过</w:t>
      </w:r>
      <w:r>
        <w:rPr>
          <w:rFonts w:eastAsia="等线" w:ascii="Arial" w:cs="Arial" w:hAnsi="Arial"/>
          <w:b w:val="true"/>
          <w:sz w:val="22"/>
        </w:rPr>
        <w:t>7天模拟交易</w:t>
      </w:r>
      <w:r>
        <w:rPr>
          <w:rFonts w:eastAsia="等线" w:ascii="Arial" w:cs="Arial" w:hAnsi="Arial"/>
          <w:sz w:val="22"/>
        </w:rPr>
        <w:t>，且性能不低于当前生产版本，方可进入治理投票。</w:t>
      </w:r>
    </w:p>
    <w:p>
      <w:pPr>
        <w:numPr>
          <w:numId w:val="7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治理投票门槛</w:t>
      </w:r>
      <w:r>
        <w:rPr>
          <w:rFonts w:eastAsia="等线" w:ascii="Arial" w:cs="Arial" w:hAnsi="Arial"/>
          <w:sz w:val="22"/>
        </w:rPr>
        <w:t>：模型版本升级需</w:t>
      </w:r>
      <w:r>
        <w:rPr>
          <w:rFonts w:eastAsia="等线" w:ascii="Arial" w:cs="Arial" w:hAnsi="Arial"/>
          <w:b w:val="true"/>
          <w:sz w:val="22"/>
        </w:rPr>
        <w:t>51% XIC投票通过</w:t>
      </w:r>
      <w:r>
        <w:rPr>
          <w:rFonts w:eastAsia="等线" w:ascii="Arial" w:cs="Arial" w:hAnsi="Arial"/>
          <w:sz w:val="22"/>
        </w:rPr>
        <w:t>，紧急热修复需技术委员会2/3批准。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1" w:id="21"/>
      <w:r>
        <w:rPr>
          <w:rFonts w:eastAsia="等线" w:ascii="Arial" w:cs="Arial" w:hAnsi="Arial"/>
          <w:b w:val="true"/>
          <w:sz w:val="32"/>
        </w:rPr>
        <w:t>5.3 可解释性模块</w:t>
      </w:r>
      <w:bookmarkEnd w:id="2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所有汇率计算必须提供</w:t>
      </w:r>
      <w:r>
        <w:rPr>
          <w:rFonts w:eastAsia="等线" w:ascii="Arial" w:cs="Arial" w:hAnsi="Arial"/>
          <w:b w:val="true"/>
          <w:sz w:val="22"/>
        </w:rPr>
        <w:t>权重归因报告</w:t>
      </w:r>
      <w:r>
        <w:rPr>
          <w:rFonts w:eastAsia="等线" w:ascii="Arial" w:cs="Arial" w:hAnsi="Arial"/>
          <w:sz w:val="22"/>
        </w:rPr>
        <w:t>，示例：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2026-02-12 XTZH汇率 = 1.0304 SDR (+0.15% vs 前日)</w:t>
              <w:br/>
              <w:t>权重贡献：</w:t>
              <w:br/>
              <w:t>- 货币层 (38%) : +0.08% (美元走强)</w:t>
              <w:br/>
              <w:t>- 黄金层 (13%) : +0.04% (避险情绪)</w:t>
              <w:br/>
              <w:t>- 商品层 (49%) : +0.03% (原油+0.12%, 铜-0.05%)</w:t>
              <w:br/>
              <w:t>主要驱动特征：</w:t>
              <w:br/>
              <w:t>1. VIX指数 ↑15% → 黄金权重 ↑3%</w:t>
              <w:br/>
              <w:t>2.</w:t>
            </w:r>
            <w:r>
              <w:rPr>
                <w:rFonts w:eastAsia="Consolas" w:ascii="Consolas" w:cs="Consolas" w:hAnsi="Consolas"/>
                <w:sz w:val="22"/>
              </w:rPr>
              <w:t xml:space="preserve"> 中国PMI ↓0.8 → 铜权重 ↓5%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该报告通过链上零知识证明</w:t>
      </w:r>
      <w:r>
        <w:rPr>
          <w:rFonts w:eastAsia="等线" w:ascii="Arial" w:cs="Arial" w:hAnsi="Arial"/>
          <w:b w:val="true"/>
          <w:sz w:val="22"/>
        </w:rPr>
        <w:t>可验证</w:t>
      </w:r>
      <w:r>
        <w:rPr>
          <w:rFonts w:eastAsia="等线" w:ascii="Arial" w:cs="Arial" w:hAnsi="Arial"/>
          <w:sz w:val="22"/>
        </w:rPr>
        <w:t>（证明权重计算过程正确，但不泄露模型参数）。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2" w:id="22"/>
      <w:r>
        <w:rPr>
          <w:rFonts w:eastAsia="等线" w:ascii="Arial" w:cs="Arial" w:hAnsi="Arial"/>
          <w:b w:val="true"/>
          <w:sz w:val="36"/>
        </w:rPr>
        <w:t>第六部分：治理与伦理</w:t>
      </w:r>
      <w:bookmarkEnd w:id="22"/>
    </w:p>
    <w:p>
      <w:pPr>
        <w:numPr>
          <w:numId w:val="7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模型参数所有权</w:t>
      </w:r>
      <w:r>
        <w:rPr>
          <w:rFonts w:eastAsia="等线" w:ascii="Arial" w:cs="Arial" w:hAnsi="Arial"/>
          <w:sz w:val="22"/>
        </w:rPr>
        <w:t>：最终训练完成的模型权重属于NAC社区，以默克尔根形式存证于链上。</w:t>
      </w:r>
    </w:p>
    <w:p>
      <w:pPr>
        <w:numPr>
          <w:numId w:val="7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对抗性防御</w:t>
      </w:r>
      <w:r>
        <w:rPr>
          <w:rFonts w:eastAsia="等线" w:ascii="Arial" w:cs="Arial" w:hAnsi="Arial"/>
          <w:sz w:val="22"/>
        </w:rPr>
        <w:t>：严禁任何人试图通过操纵宏观数据发布来影响XTZH汇率；预言机节点对异常特征值自动过滤。</w:t>
      </w:r>
    </w:p>
    <w:p>
      <w:pPr>
        <w:numPr>
          <w:numId w:val="7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伦理原则</w:t>
      </w:r>
      <w:r>
        <w:rPr>
          <w:rFonts w:eastAsia="等线" w:ascii="Arial" w:cs="Arial" w:hAnsi="Arial"/>
          <w:sz w:val="22"/>
        </w:rPr>
        <w:t>：XTZH不参与任何形式的汇率操纵或投机套利；其唯一目标是真实反映全球经济状态。</w:t>
      </w:r>
    </w:p>
    <w:p>
      <w:pPr>
        <w:numPr>
          <w:numId w:val="7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开源承诺</w:t>
      </w:r>
      <w:r>
        <w:rPr>
          <w:rFonts w:eastAsia="等线" w:ascii="Arial" w:cs="Arial" w:hAnsi="Arial"/>
          <w:sz w:val="22"/>
        </w:rPr>
        <w:t>：本AI系统的核心架构、训练代码、验证指标将在主网上线后6个月内开源，接受学术界与工业界同行评审。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3" w:id="23"/>
      <w:r>
        <w:rPr>
          <w:rFonts w:eastAsia="等线" w:ascii="Arial" w:cs="Arial" w:hAnsi="Arial"/>
          <w:b w:val="true"/>
          <w:sz w:val="36"/>
        </w:rPr>
        <w:t>附录：关键里程碑</w:t>
      </w:r>
      <w:bookmarkEnd w:id="2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时间节点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交付物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2026.03.31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特征库v1.0，基线模型性能报告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</w:t>
            </w:r>
            <w:r>
              <w:rPr>
                <w:rFonts w:eastAsia="等线" w:ascii="Arial" w:cs="Arial" w:hAnsi="Arial"/>
                <w:sz w:val="22"/>
              </w:rPr>
              <w:t>.04.30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预训练编码器完成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2026.07.31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端到端模型v1.0训练完成，内部验证通过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</w:t>
            </w:r>
            <w:r>
              <w:rPr>
                <w:rFonts w:eastAsia="等线" w:ascii="Arial" w:cs="Arial" w:hAnsi="Arial"/>
                <w:sz w:val="22"/>
              </w:rPr>
              <w:t>.08.31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压力测试报告，模型量化完成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2026.09.30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预言机测试网部署，社区</w:t>
            </w:r>
            <w:r>
              <w:rPr>
                <w:rFonts w:eastAsia="等线" w:ascii="Arial" w:cs="Arial" w:hAnsi="Arial"/>
                <w:sz w:val="22"/>
              </w:rPr>
              <w:t>试用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2026.10.31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治理投票通过，主网上线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</w:t>
            </w:r>
            <w:r>
              <w:rPr>
                <w:rFonts w:eastAsia="等线" w:ascii="Arial" w:cs="Arial" w:hAnsi="Arial"/>
                <w:sz w:val="22"/>
              </w:rPr>
              <w:t>6.12.31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正式取代静态权重，成为XTZH唯一定</w:t>
            </w:r>
            <w:r>
              <w:rPr>
                <w:rFonts w:eastAsia="等线" w:ascii="Arial" w:cs="Arial" w:hAnsi="Arial"/>
                <w:sz w:val="22"/>
              </w:rPr>
              <w:t>价引擎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文档制定</w:t>
      </w:r>
      <w:r>
        <w:rPr>
          <w:rFonts w:eastAsia="等线" w:ascii="Arial" w:cs="Arial" w:hAnsi="Arial"/>
          <w:sz w:val="22"/>
        </w:rPr>
        <w:t>：NAC人工智能实验室</w:t>
        <w:br/>
      </w:r>
      <w:r>
        <w:rPr>
          <w:rFonts w:eastAsia="等线" w:ascii="Arial" w:cs="Arial" w:hAnsi="Arial"/>
          <w:b w:val="true"/>
          <w:sz w:val="22"/>
        </w:rPr>
        <w:t>版本历史</w:t>
      </w:r>
      <w:r>
        <w:rPr>
          <w:rFonts w:eastAsia="等线" w:ascii="Arial" w:cs="Arial" w:hAnsi="Arial"/>
          <w:sz w:val="22"/>
        </w:rPr>
        <w:t>：</w:t>
        <w:br/>
        <w:t>- v0.1 2026.01.15 内部草案</w:t>
        <w:br/>
      </w:r>
      <w:r>
        <w:rPr>
          <w:rFonts w:eastAsia="等线" w:ascii="Arial" w:cs="Arial" w:hAnsi="Arial"/>
          <w:sz w:val="22"/>
        </w:rPr>
        <w:t>- v1.0 2026.02.12 正式发布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2042022">
    <w:lvl>
      <w:start w:val="1"/>
      <w:numFmt w:val="decimal"/>
      <w:suff w:val="tab"/>
      <w:lvlText w:val="%1."/>
      <w:rPr>
        <w:color w:val="3370ff"/>
      </w:rPr>
    </w:lvl>
  </w:abstractNum>
  <w:abstractNum w:abstractNumId="2042023">
    <w:lvl>
      <w:start w:val="2"/>
      <w:numFmt w:val="decimal"/>
      <w:suff w:val="tab"/>
      <w:lvlText w:val="%1."/>
      <w:rPr>
        <w:color w:val="3370ff"/>
      </w:rPr>
    </w:lvl>
  </w:abstractNum>
  <w:abstractNum w:abstractNumId="2042024">
    <w:lvl>
      <w:start w:val="1"/>
      <w:numFmt w:val="decimal"/>
      <w:suff w:val="tab"/>
      <w:lvlText w:val="%1."/>
      <w:rPr>
        <w:color w:val="3370ff"/>
      </w:rPr>
    </w:lvl>
  </w:abstractNum>
  <w:abstractNum w:abstractNumId="2042025">
    <w:lvl>
      <w:start w:val="2"/>
      <w:numFmt w:val="decimal"/>
      <w:suff w:val="tab"/>
      <w:lvlText w:val="%1."/>
      <w:rPr>
        <w:color w:val="3370ff"/>
      </w:rPr>
    </w:lvl>
  </w:abstractNum>
  <w:abstractNum w:abstractNumId="2042026">
    <w:lvl>
      <w:start w:val="3"/>
      <w:numFmt w:val="decimal"/>
      <w:suff w:val="tab"/>
      <w:lvlText w:val="%1."/>
      <w:rPr>
        <w:color w:val="3370ff"/>
      </w:rPr>
    </w:lvl>
  </w:abstractNum>
  <w:abstractNum w:abstractNumId="2042027">
    <w:lvl>
      <w:start w:val="4"/>
      <w:numFmt w:val="decimal"/>
      <w:suff w:val="tab"/>
      <w:lvlText w:val="%1."/>
      <w:rPr>
        <w:color w:val="3370ff"/>
      </w:rPr>
    </w:lvl>
  </w:abstractNum>
  <w:abstractNum w:abstractNumId="2042028">
    <w:lvl>
      <w:start w:val="5"/>
      <w:numFmt w:val="decimal"/>
      <w:suff w:val="tab"/>
      <w:lvlText w:val="%1."/>
      <w:rPr>
        <w:color w:val="3370ff"/>
      </w:rPr>
    </w:lvl>
  </w:abstractNum>
  <w:abstractNum w:abstractNumId="2042029">
    <w:lvl>
      <w:start w:val="1"/>
      <w:numFmt w:val="decimal"/>
      <w:suff w:val="tab"/>
      <w:lvlText w:val="%1."/>
      <w:rPr>
        <w:color w:val="3370ff"/>
      </w:rPr>
    </w:lvl>
  </w:abstractNum>
  <w:abstractNum w:abstractNumId="2042030">
    <w:lvl>
      <w:start w:val="2"/>
      <w:numFmt w:val="decimal"/>
      <w:suff w:val="tab"/>
      <w:lvlText w:val="%1."/>
      <w:rPr>
        <w:color w:val="3370ff"/>
      </w:rPr>
    </w:lvl>
  </w:abstractNum>
  <w:abstractNum w:abstractNumId="2042031">
    <w:lvl>
      <w:start w:val="3"/>
      <w:numFmt w:val="decimal"/>
      <w:suff w:val="tab"/>
      <w:lvlText w:val="%1."/>
      <w:rPr>
        <w:color w:val="3370ff"/>
      </w:rPr>
    </w:lvl>
  </w:abstractNum>
  <w:abstractNum w:abstractNumId="2042032">
    <w:lvl>
      <w:start w:val="4"/>
      <w:numFmt w:val="decimal"/>
      <w:suff w:val="tab"/>
      <w:lvlText w:val="%1."/>
      <w:rPr>
        <w:color w:val="3370ff"/>
      </w:rPr>
    </w:lvl>
  </w:abstractNum>
  <w:abstractNum w:abstractNumId="2042033">
    <w:lvl>
      <w:start w:val="5"/>
      <w:numFmt w:val="decimal"/>
      <w:suff w:val="tab"/>
      <w:lvlText w:val="%1."/>
      <w:rPr>
        <w:color w:val="3370ff"/>
      </w:rPr>
    </w:lvl>
  </w:abstractNum>
  <w:abstractNum w:abstractNumId="2042034">
    <w:lvl>
      <w:start w:val="6"/>
      <w:numFmt w:val="decimal"/>
      <w:suff w:val="tab"/>
      <w:lvlText w:val="%1."/>
      <w:rPr>
        <w:color w:val="3370ff"/>
      </w:rPr>
    </w:lvl>
  </w:abstractNum>
  <w:abstractNum w:abstractNumId="2042035">
    <w:lvl>
      <w:numFmt w:val="bullet"/>
      <w:suff w:val="tab"/>
      <w:lvlText w:val="•"/>
      <w:rPr>
        <w:color w:val="3370ff"/>
      </w:rPr>
    </w:lvl>
  </w:abstractNum>
  <w:abstractNum w:abstractNumId="2042036">
    <w:lvl>
      <w:numFmt w:val="bullet"/>
      <w:suff w:val="tab"/>
      <w:lvlText w:val="•"/>
      <w:rPr>
        <w:color w:val="3370ff"/>
      </w:rPr>
    </w:lvl>
  </w:abstractNum>
  <w:abstractNum w:abstractNumId="2042037">
    <w:lvl>
      <w:numFmt w:val="bullet"/>
      <w:suff w:val="tab"/>
      <w:lvlText w:val="•"/>
      <w:rPr>
        <w:color w:val="3370ff"/>
      </w:rPr>
    </w:lvl>
  </w:abstractNum>
  <w:abstractNum w:abstractNumId="2042038">
    <w:lvl>
      <w:numFmt w:val="bullet"/>
      <w:suff w:val="tab"/>
      <w:lvlText w:val="•"/>
      <w:rPr>
        <w:color w:val="3370ff"/>
      </w:rPr>
    </w:lvl>
  </w:abstractNum>
  <w:abstractNum w:abstractNumId="2042039">
    <w:lvl>
      <w:numFmt w:val="bullet"/>
      <w:suff w:val="tab"/>
      <w:lvlText w:val="•"/>
      <w:rPr>
        <w:color w:val="3370ff"/>
      </w:rPr>
    </w:lvl>
  </w:abstractNum>
  <w:abstractNum w:abstractNumId="2042040">
    <w:lvl>
      <w:numFmt w:val="bullet"/>
      <w:suff w:val="tab"/>
      <w:lvlText w:val="•"/>
      <w:rPr>
        <w:color w:val="3370ff"/>
      </w:rPr>
    </w:lvl>
  </w:abstractNum>
  <w:abstractNum w:abstractNumId="2042041">
    <w:lvl>
      <w:numFmt w:val="bullet"/>
      <w:suff w:val="tab"/>
      <w:lvlText w:val="•"/>
      <w:rPr>
        <w:color w:val="3370ff"/>
      </w:rPr>
    </w:lvl>
  </w:abstractNum>
  <w:abstractNum w:abstractNumId="2042042">
    <w:lvl>
      <w:numFmt w:val="bullet"/>
      <w:suff w:val="tab"/>
      <w:lvlText w:val="•"/>
      <w:rPr>
        <w:color w:val="3370ff"/>
      </w:rPr>
    </w:lvl>
  </w:abstractNum>
  <w:abstractNum w:abstractNumId="2042043">
    <w:lvl>
      <w:numFmt w:val="bullet"/>
      <w:suff w:val="tab"/>
      <w:lvlText w:val="•"/>
      <w:rPr>
        <w:color w:val="3370ff"/>
      </w:rPr>
    </w:lvl>
  </w:abstractNum>
  <w:abstractNum w:abstractNumId="2042044">
    <w:lvl>
      <w:numFmt w:val="bullet"/>
      <w:suff w:val="tab"/>
      <w:lvlText w:val="•"/>
      <w:rPr>
        <w:color w:val="3370ff"/>
      </w:rPr>
    </w:lvl>
  </w:abstractNum>
  <w:abstractNum w:abstractNumId="2042045">
    <w:lvl>
      <w:numFmt w:val="bullet"/>
      <w:suff w:val="tab"/>
      <w:lvlText w:val="•"/>
      <w:rPr>
        <w:color w:val="3370ff"/>
      </w:rPr>
    </w:lvl>
  </w:abstractNum>
  <w:abstractNum w:abstractNumId="2042046">
    <w:lvl>
      <w:numFmt w:val="bullet"/>
      <w:suff w:val="tab"/>
      <w:lvlText w:val="•"/>
      <w:rPr>
        <w:color w:val="3370ff"/>
      </w:rPr>
    </w:lvl>
  </w:abstractNum>
  <w:abstractNum w:abstractNumId="2042047">
    <w:lvl>
      <w:numFmt w:val="bullet"/>
      <w:suff w:val="tab"/>
      <w:lvlText w:val="•"/>
      <w:rPr>
        <w:color w:val="3370ff"/>
      </w:rPr>
    </w:lvl>
  </w:abstractNum>
  <w:abstractNum w:abstractNumId="2042048">
    <w:lvl>
      <w:numFmt w:val="bullet"/>
      <w:suff w:val="tab"/>
      <w:lvlText w:val="•"/>
      <w:rPr>
        <w:color w:val="3370ff"/>
      </w:rPr>
    </w:lvl>
  </w:abstractNum>
  <w:abstractNum w:abstractNumId="2042049">
    <w:lvl>
      <w:numFmt w:val="bullet"/>
      <w:suff w:val="tab"/>
      <w:lvlText w:val="•"/>
      <w:rPr>
        <w:color w:val="3370ff"/>
      </w:rPr>
    </w:lvl>
  </w:abstractNum>
  <w:abstractNum w:abstractNumId="2042050">
    <w:lvl>
      <w:numFmt w:val="bullet"/>
      <w:suff w:val="tab"/>
      <w:lvlText w:val="•"/>
      <w:rPr>
        <w:color w:val="3370ff"/>
      </w:rPr>
    </w:lvl>
  </w:abstractNum>
  <w:abstractNum w:abstractNumId="2042051">
    <w:lvl>
      <w:numFmt w:val="bullet"/>
      <w:suff w:val="tab"/>
      <w:lvlText w:val="•"/>
      <w:rPr>
        <w:color w:val="3370ff"/>
      </w:rPr>
    </w:lvl>
  </w:abstractNum>
  <w:abstractNum w:abstractNumId="2042052">
    <w:lvl>
      <w:numFmt w:val="bullet"/>
      <w:suff w:val="tab"/>
      <w:lvlText w:val="•"/>
      <w:rPr>
        <w:color w:val="3370ff"/>
      </w:rPr>
    </w:lvl>
  </w:abstractNum>
  <w:abstractNum w:abstractNumId="2042053">
    <w:lvl>
      <w:numFmt w:val="bullet"/>
      <w:suff w:val="tab"/>
      <w:lvlText w:val="•"/>
      <w:rPr>
        <w:color w:val="3370ff"/>
      </w:rPr>
    </w:lvl>
  </w:abstractNum>
  <w:abstractNum w:abstractNumId="2042054">
    <w:lvl>
      <w:numFmt w:val="bullet"/>
      <w:suff w:val="tab"/>
      <w:lvlText w:val="•"/>
      <w:rPr>
        <w:color w:val="3370ff"/>
      </w:rPr>
    </w:lvl>
  </w:abstractNum>
  <w:abstractNum w:abstractNumId="2042055">
    <w:lvl>
      <w:numFmt w:val="bullet"/>
      <w:suff w:val="tab"/>
      <w:lvlText w:val="•"/>
      <w:rPr>
        <w:color w:val="3370ff"/>
      </w:rPr>
    </w:lvl>
  </w:abstractNum>
  <w:abstractNum w:abstractNumId="2042056">
    <w:lvl>
      <w:numFmt w:val="bullet"/>
      <w:suff w:val="tab"/>
      <w:lvlText w:val="•"/>
      <w:rPr>
        <w:color w:val="3370ff"/>
      </w:rPr>
    </w:lvl>
  </w:abstractNum>
  <w:abstractNum w:abstractNumId="2042057">
    <w:lvl>
      <w:numFmt w:val="bullet"/>
      <w:suff w:val="tab"/>
      <w:lvlText w:val="•"/>
      <w:rPr>
        <w:color w:val="3370ff"/>
      </w:rPr>
    </w:lvl>
  </w:abstractNum>
  <w:abstractNum w:abstractNumId="2042058">
    <w:lvl>
      <w:numFmt w:val="bullet"/>
      <w:suff w:val="tab"/>
      <w:lvlText w:val="•"/>
      <w:rPr>
        <w:color w:val="3370ff"/>
      </w:rPr>
    </w:lvl>
  </w:abstractNum>
  <w:abstractNum w:abstractNumId="2042059">
    <w:lvl>
      <w:numFmt w:val="bullet"/>
      <w:suff w:val="tab"/>
      <w:lvlText w:val="•"/>
      <w:rPr>
        <w:color w:val="3370ff"/>
      </w:rPr>
    </w:lvl>
  </w:abstractNum>
  <w:abstractNum w:abstractNumId="2042060">
    <w:lvl>
      <w:numFmt w:val="bullet"/>
      <w:suff w:val="tab"/>
      <w:lvlText w:val="•"/>
      <w:rPr>
        <w:color w:val="3370ff"/>
      </w:rPr>
    </w:lvl>
  </w:abstractNum>
  <w:abstractNum w:abstractNumId="2042061">
    <w:lvl>
      <w:numFmt w:val="bullet"/>
      <w:suff w:val="tab"/>
      <w:lvlText w:val="•"/>
      <w:rPr>
        <w:color w:val="3370ff"/>
      </w:rPr>
    </w:lvl>
  </w:abstractNum>
  <w:abstractNum w:abstractNumId="2042062">
    <w:lvl>
      <w:numFmt w:val="bullet"/>
      <w:suff w:val="tab"/>
      <w:lvlText w:val="•"/>
      <w:rPr>
        <w:color w:val="3370ff"/>
      </w:rPr>
    </w:lvl>
  </w:abstractNum>
  <w:abstractNum w:abstractNumId="2042063">
    <w:lvl>
      <w:numFmt w:val="bullet"/>
      <w:suff w:val="tab"/>
      <w:lvlText w:val="•"/>
      <w:rPr>
        <w:color w:val="3370ff"/>
      </w:rPr>
    </w:lvl>
  </w:abstractNum>
  <w:abstractNum w:abstractNumId="2042064">
    <w:lvl>
      <w:numFmt w:val="bullet"/>
      <w:suff w:val="tab"/>
      <w:lvlText w:val="•"/>
      <w:rPr>
        <w:color w:val="3370ff"/>
      </w:rPr>
    </w:lvl>
  </w:abstractNum>
  <w:abstractNum w:abstractNumId="2042065">
    <w:lvl>
      <w:numFmt w:val="bullet"/>
      <w:suff w:val="tab"/>
      <w:lvlText w:val="•"/>
      <w:rPr>
        <w:color w:val="3370ff"/>
      </w:rPr>
    </w:lvl>
  </w:abstractNum>
  <w:abstractNum w:abstractNumId="2042066">
    <w:lvl>
      <w:numFmt w:val="bullet"/>
      <w:suff w:val="tab"/>
      <w:lvlText w:val="•"/>
      <w:rPr>
        <w:color w:val="3370ff"/>
      </w:rPr>
    </w:lvl>
  </w:abstractNum>
  <w:abstractNum w:abstractNumId="2042067">
    <w:lvl>
      <w:numFmt w:val="bullet"/>
      <w:suff w:val="tab"/>
      <w:lvlText w:val="•"/>
      <w:rPr>
        <w:color w:val="3370ff"/>
      </w:rPr>
    </w:lvl>
  </w:abstractNum>
  <w:abstractNum w:abstractNumId="2042068">
    <w:lvl>
      <w:numFmt w:val="bullet"/>
      <w:suff w:val="tab"/>
      <w:lvlText w:val="•"/>
      <w:rPr>
        <w:color w:val="3370ff"/>
      </w:rPr>
    </w:lvl>
  </w:abstractNum>
  <w:abstractNum w:abstractNumId="2042069">
    <w:lvl>
      <w:numFmt w:val="bullet"/>
      <w:suff w:val="tab"/>
      <w:lvlText w:val="•"/>
      <w:rPr>
        <w:color w:val="3370ff"/>
      </w:rPr>
    </w:lvl>
  </w:abstractNum>
  <w:abstractNum w:abstractNumId="2042070">
    <w:lvl>
      <w:numFmt w:val="bullet"/>
      <w:suff w:val="tab"/>
      <w:lvlText w:val="•"/>
      <w:rPr>
        <w:color w:val="3370ff"/>
      </w:rPr>
    </w:lvl>
  </w:abstractNum>
  <w:abstractNum w:abstractNumId="2042071">
    <w:lvl>
      <w:numFmt w:val="bullet"/>
      <w:suff w:val="tab"/>
      <w:lvlText w:val="•"/>
      <w:rPr>
        <w:color w:val="3370ff"/>
      </w:rPr>
    </w:lvl>
  </w:abstractNum>
  <w:abstractNum w:abstractNumId="2042072">
    <w:lvl>
      <w:numFmt w:val="bullet"/>
      <w:suff w:val="tab"/>
      <w:lvlText w:val="•"/>
      <w:rPr>
        <w:color w:val="3370ff"/>
      </w:rPr>
    </w:lvl>
  </w:abstractNum>
  <w:abstractNum w:abstractNumId="2042073">
    <w:lvl>
      <w:numFmt w:val="bullet"/>
      <w:suff w:val="tab"/>
      <w:lvlText w:val="•"/>
      <w:rPr>
        <w:color w:val="3370ff"/>
      </w:rPr>
    </w:lvl>
  </w:abstractNum>
  <w:abstractNum w:abstractNumId="2042074">
    <w:lvl>
      <w:numFmt w:val="bullet"/>
      <w:suff w:val="tab"/>
      <w:lvlText w:val="•"/>
      <w:rPr>
        <w:color w:val="3370ff"/>
      </w:rPr>
    </w:lvl>
  </w:abstractNum>
  <w:abstractNum w:abstractNumId="2042075">
    <w:lvl>
      <w:numFmt w:val="bullet"/>
      <w:suff w:val="tab"/>
      <w:lvlText w:val="•"/>
      <w:rPr>
        <w:color w:val="3370ff"/>
      </w:rPr>
    </w:lvl>
  </w:abstractNum>
  <w:abstractNum w:abstractNumId="2042076">
    <w:lvl>
      <w:numFmt w:val="bullet"/>
      <w:suff w:val="tab"/>
      <w:lvlText w:val="•"/>
      <w:rPr>
        <w:color w:val="3370ff"/>
      </w:rPr>
    </w:lvl>
  </w:abstractNum>
  <w:abstractNum w:abstractNumId="2042077">
    <w:lvl>
      <w:numFmt w:val="bullet"/>
      <w:suff w:val="tab"/>
      <w:lvlText w:val="•"/>
      <w:rPr>
        <w:color w:val="3370ff"/>
      </w:rPr>
    </w:lvl>
  </w:abstractNum>
  <w:abstractNum w:abstractNumId="2042078">
    <w:lvl>
      <w:numFmt w:val="bullet"/>
      <w:suff w:val="tab"/>
      <w:lvlText w:val="•"/>
      <w:rPr>
        <w:color w:val="3370ff"/>
      </w:rPr>
    </w:lvl>
  </w:abstractNum>
  <w:abstractNum w:abstractNumId="2042079">
    <w:lvl>
      <w:numFmt w:val="bullet"/>
      <w:suff w:val="tab"/>
      <w:lvlText w:val="•"/>
      <w:rPr>
        <w:color w:val="3370ff"/>
      </w:rPr>
    </w:lvl>
  </w:abstractNum>
  <w:abstractNum w:abstractNumId="2042080">
    <w:lvl>
      <w:numFmt w:val="bullet"/>
      <w:suff w:val="tab"/>
      <w:lvlText w:val="•"/>
      <w:rPr>
        <w:color w:val="3370ff"/>
      </w:rPr>
    </w:lvl>
  </w:abstractNum>
  <w:abstractNum w:abstractNumId="2042081">
    <w:lvl>
      <w:start w:val="1"/>
      <w:numFmt w:val="decimal"/>
      <w:suff w:val="tab"/>
      <w:lvlText w:val="%1."/>
      <w:rPr>
        <w:color w:val="3370ff"/>
      </w:rPr>
    </w:lvl>
  </w:abstractNum>
  <w:abstractNum w:abstractNumId="2042082">
    <w:lvl>
      <w:start w:val="2"/>
      <w:numFmt w:val="decimal"/>
      <w:suff w:val="tab"/>
      <w:lvlText w:val="%1."/>
      <w:rPr>
        <w:color w:val="3370ff"/>
      </w:rPr>
    </w:lvl>
  </w:abstractNum>
  <w:abstractNum w:abstractNumId="2042083">
    <w:lvl>
      <w:start w:val="3"/>
      <w:numFmt w:val="decimal"/>
      <w:suff w:val="tab"/>
      <w:lvlText w:val="%1."/>
      <w:rPr>
        <w:color w:val="3370ff"/>
      </w:rPr>
    </w:lvl>
  </w:abstractNum>
  <w:abstractNum w:abstractNumId="2042084">
    <w:lvl>
      <w:start w:val="4"/>
      <w:numFmt w:val="decimal"/>
      <w:suff w:val="tab"/>
      <w:lvlText w:val="%1."/>
      <w:rPr>
        <w:color w:val="3370ff"/>
      </w:rPr>
    </w:lvl>
  </w:abstractNum>
  <w:abstractNum w:abstractNumId="2042085">
    <w:lvl>
      <w:numFmt w:val="bullet"/>
      <w:suff w:val="tab"/>
      <w:lvlText w:val="•"/>
      <w:rPr>
        <w:color w:val="3370ff"/>
      </w:rPr>
    </w:lvl>
  </w:abstractNum>
  <w:abstractNum w:abstractNumId="2042086">
    <w:lvl>
      <w:numFmt w:val="bullet"/>
      <w:suff w:val="tab"/>
      <w:lvlText w:val="•"/>
      <w:rPr>
        <w:color w:val="3370ff"/>
      </w:rPr>
    </w:lvl>
  </w:abstractNum>
  <w:abstractNum w:abstractNumId="2042087">
    <w:lvl>
      <w:numFmt w:val="bullet"/>
      <w:suff w:val="tab"/>
      <w:lvlText w:val="•"/>
      <w:rPr>
        <w:color w:val="3370ff"/>
      </w:rPr>
    </w:lvl>
  </w:abstractNum>
  <w:abstractNum w:abstractNumId="2042088">
    <w:lvl>
      <w:numFmt w:val="bullet"/>
      <w:suff w:val="tab"/>
      <w:lvlText w:val="•"/>
      <w:rPr>
        <w:color w:val="3370ff"/>
      </w:rPr>
    </w:lvl>
  </w:abstractNum>
  <w:abstractNum w:abstractNumId="2042089">
    <w:lvl>
      <w:numFmt w:val="bullet"/>
      <w:suff w:val="tab"/>
      <w:lvlText w:val="•"/>
      <w:rPr>
        <w:color w:val="3370ff"/>
      </w:rPr>
    </w:lvl>
  </w:abstractNum>
  <w:abstractNum w:abstractNumId="2042090">
    <w:lvl>
      <w:numFmt w:val="bullet"/>
      <w:suff w:val="tab"/>
      <w:lvlText w:val="•"/>
      <w:rPr>
        <w:color w:val="3370ff"/>
      </w:rPr>
    </w:lvl>
  </w:abstractNum>
  <w:abstractNum w:abstractNumId="2042091">
    <w:lvl>
      <w:numFmt w:val="bullet"/>
      <w:suff w:val="tab"/>
      <w:lvlText w:val="•"/>
      <w:rPr>
        <w:color w:val="3370ff"/>
      </w:rPr>
    </w:lvl>
  </w:abstractNum>
  <w:abstractNum w:abstractNumId="2042092">
    <w:lvl>
      <w:numFmt w:val="bullet"/>
      <w:suff w:val="tab"/>
      <w:lvlText w:val="•"/>
      <w:rPr>
        <w:color w:val="3370ff"/>
      </w:rPr>
    </w:lvl>
  </w:abstractNum>
  <w:abstractNum w:abstractNumId="2042093">
    <w:lvl>
      <w:numFmt w:val="bullet"/>
      <w:suff w:val="tab"/>
      <w:lvlText w:val="•"/>
      <w:rPr>
        <w:color w:val="3370ff"/>
      </w:rPr>
    </w:lvl>
  </w:abstractNum>
  <w:abstractNum w:abstractNumId="2042094">
    <w:lvl>
      <w:numFmt w:val="bullet"/>
      <w:suff w:val="tab"/>
      <w:lvlText w:val="•"/>
      <w:rPr>
        <w:color w:val="3370ff"/>
      </w:rPr>
    </w:lvl>
  </w:abstractNum>
  <w:abstractNum w:abstractNumId="2042095">
    <w:lvl>
      <w:start w:val="1"/>
      <w:numFmt w:val="decimal"/>
      <w:suff w:val="tab"/>
      <w:lvlText w:val="%1."/>
      <w:rPr>
        <w:color w:val="3370ff"/>
      </w:rPr>
    </w:lvl>
  </w:abstractNum>
  <w:abstractNum w:abstractNumId="2042096">
    <w:lvl>
      <w:start w:val="2"/>
      <w:numFmt w:val="decimal"/>
      <w:suff w:val="tab"/>
      <w:lvlText w:val="%1."/>
      <w:rPr>
        <w:color w:val="3370ff"/>
      </w:rPr>
    </w:lvl>
  </w:abstractNum>
  <w:abstractNum w:abstractNumId="2042097">
    <w:lvl>
      <w:start w:val="3"/>
      <w:numFmt w:val="decimal"/>
      <w:suff w:val="tab"/>
      <w:lvlText w:val="%1."/>
      <w:rPr>
        <w:color w:val="3370ff"/>
      </w:rPr>
    </w:lvl>
  </w:abstractNum>
  <w:abstractNum w:abstractNumId="2042098">
    <w:lvl>
      <w:start w:val="4"/>
      <w:numFmt w:val="decimal"/>
      <w:suff w:val="tab"/>
      <w:lvlText w:val="%1."/>
      <w:rPr>
        <w:color w:val="3370ff"/>
      </w:rPr>
    </w:lvl>
  </w:abstractNum>
  <w:num w:numId="1">
    <w:abstractNumId w:val="2042022"/>
  </w:num>
  <w:num w:numId="2">
    <w:abstractNumId w:val="2042023"/>
  </w:num>
  <w:num w:numId="3">
    <w:abstractNumId w:val="2042024"/>
  </w:num>
  <w:num w:numId="4">
    <w:abstractNumId w:val="2042025"/>
  </w:num>
  <w:num w:numId="5">
    <w:abstractNumId w:val="2042026"/>
  </w:num>
  <w:num w:numId="6">
    <w:abstractNumId w:val="2042027"/>
  </w:num>
  <w:num w:numId="7">
    <w:abstractNumId w:val="2042028"/>
  </w:num>
  <w:num w:numId="8">
    <w:abstractNumId w:val="2042029"/>
  </w:num>
  <w:num w:numId="9">
    <w:abstractNumId w:val="2042030"/>
  </w:num>
  <w:num w:numId="10">
    <w:abstractNumId w:val="2042031"/>
  </w:num>
  <w:num w:numId="11">
    <w:abstractNumId w:val="2042032"/>
  </w:num>
  <w:num w:numId="12">
    <w:abstractNumId w:val="2042033"/>
  </w:num>
  <w:num w:numId="13">
    <w:abstractNumId w:val="2042034"/>
  </w:num>
  <w:num w:numId="14">
    <w:abstractNumId w:val="2042035"/>
  </w:num>
  <w:num w:numId="15">
    <w:abstractNumId w:val="2042036"/>
  </w:num>
  <w:num w:numId="16">
    <w:abstractNumId w:val="2042037"/>
  </w:num>
  <w:num w:numId="17">
    <w:abstractNumId w:val="2042038"/>
  </w:num>
  <w:num w:numId="18">
    <w:abstractNumId w:val="2042039"/>
  </w:num>
  <w:num w:numId="19">
    <w:abstractNumId w:val="2042040"/>
  </w:num>
  <w:num w:numId="20">
    <w:abstractNumId w:val="2042041"/>
  </w:num>
  <w:num w:numId="21">
    <w:abstractNumId w:val="2042042"/>
  </w:num>
  <w:num w:numId="22">
    <w:abstractNumId w:val="2042043"/>
  </w:num>
  <w:num w:numId="23">
    <w:abstractNumId w:val="2042044"/>
  </w:num>
  <w:num w:numId="24">
    <w:abstractNumId w:val="2042045"/>
  </w:num>
  <w:num w:numId="25">
    <w:abstractNumId w:val="2042046"/>
  </w:num>
  <w:num w:numId="26">
    <w:abstractNumId w:val="2042047"/>
  </w:num>
  <w:num w:numId="27">
    <w:abstractNumId w:val="2042048"/>
  </w:num>
  <w:num w:numId="28">
    <w:abstractNumId w:val="2042049"/>
  </w:num>
  <w:num w:numId="29">
    <w:abstractNumId w:val="2042050"/>
  </w:num>
  <w:num w:numId="30">
    <w:abstractNumId w:val="2042051"/>
  </w:num>
  <w:num w:numId="31">
    <w:abstractNumId w:val="2042052"/>
  </w:num>
  <w:num w:numId="32">
    <w:abstractNumId w:val="2042053"/>
  </w:num>
  <w:num w:numId="33">
    <w:abstractNumId w:val="2042054"/>
  </w:num>
  <w:num w:numId="34">
    <w:abstractNumId w:val="2042055"/>
  </w:num>
  <w:num w:numId="35">
    <w:abstractNumId w:val="2042056"/>
  </w:num>
  <w:num w:numId="36">
    <w:abstractNumId w:val="2042057"/>
  </w:num>
  <w:num w:numId="37">
    <w:abstractNumId w:val="2042058"/>
  </w:num>
  <w:num w:numId="38">
    <w:abstractNumId w:val="2042059"/>
  </w:num>
  <w:num w:numId="39">
    <w:abstractNumId w:val="2042060"/>
  </w:num>
  <w:num w:numId="40">
    <w:abstractNumId w:val="2042061"/>
  </w:num>
  <w:num w:numId="41">
    <w:abstractNumId w:val="2042062"/>
  </w:num>
  <w:num w:numId="42">
    <w:abstractNumId w:val="2042063"/>
  </w:num>
  <w:num w:numId="43">
    <w:abstractNumId w:val="2042064"/>
  </w:num>
  <w:num w:numId="44">
    <w:abstractNumId w:val="2042065"/>
  </w:num>
  <w:num w:numId="45">
    <w:abstractNumId w:val="2042066"/>
  </w:num>
  <w:num w:numId="46">
    <w:abstractNumId w:val="2042067"/>
  </w:num>
  <w:num w:numId="47">
    <w:abstractNumId w:val="2042068"/>
  </w:num>
  <w:num w:numId="48">
    <w:abstractNumId w:val="2042069"/>
  </w:num>
  <w:num w:numId="49">
    <w:abstractNumId w:val="2042070"/>
  </w:num>
  <w:num w:numId="50">
    <w:abstractNumId w:val="2042071"/>
  </w:num>
  <w:num w:numId="51">
    <w:abstractNumId w:val="2042072"/>
  </w:num>
  <w:num w:numId="52">
    <w:abstractNumId w:val="2042073"/>
  </w:num>
  <w:num w:numId="53">
    <w:abstractNumId w:val="2042074"/>
  </w:num>
  <w:num w:numId="54">
    <w:abstractNumId w:val="2042075"/>
  </w:num>
  <w:num w:numId="55">
    <w:abstractNumId w:val="2042076"/>
  </w:num>
  <w:num w:numId="56">
    <w:abstractNumId w:val="2042077"/>
  </w:num>
  <w:num w:numId="57">
    <w:abstractNumId w:val="2042078"/>
  </w:num>
  <w:num w:numId="58">
    <w:abstractNumId w:val="2042079"/>
  </w:num>
  <w:num w:numId="59">
    <w:abstractNumId w:val="2042080"/>
  </w:num>
  <w:num w:numId="60">
    <w:abstractNumId w:val="2042081"/>
  </w:num>
  <w:num w:numId="61">
    <w:abstractNumId w:val="2042082"/>
  </w:num>
  <w:num w:numId="62">
    <w:abstractNumId w:val="2042083"/>
  </w:num>
  <w:num w:numId="63">
    <w:abstractNumId w:val="2042084"/>
  </w:num>
  <w:num w:numId="64">
    <w:abstractNumId w:val="2042085"/>
  </w:num>
  <w:num w:numId="65">
    <w:abstractNumId w:val="2042086"/>
  </w:num>
  <w:num w:numId="66">
    <w:abstractNumId w:val="2042087"/>
  </w:num>
  <w:num w:numId="67">
    <w:abstractNumId w:val="2042088"/>
  </w:num>
  <w:num w:numId="68">
    <w:abstractNumId w:val="2042089"/>
  </w:num>
  <w:num w:numId="69">
    <w:abstractNumId w:val="2042090"/>
  </w:num>
  <w:num w:numId="70">
    <w:abstractNumId w:val="2042091"/>
  </w:num>
  <w:num w:numId="71">
    <w:abstractNumId w:val="2042092"/>
  </w:num>
  <w:num w:numId="72">
    <w:abstractNumId w:val="2042093"/>
  </w:num>
  <w:num w:numId="73">
    <w:abstractNumId w:val="2042094"/>
  </w:num>
  <w:num w:numId="74">
    <w:abstractNumId w:val="2042095"/>
  </w:num>
  <w:num w:numId="75">
    <w:abstractNumId w:val="2042096"/>
  </w:num>
  <w:num w:numId="76">
    <w:abstractNumId w:val="2042097"/>
  </w:num>
  <w:num w:numId="77">
    <w:abstractNumId w:val="2042098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2026-02-12T07:13:46Z</dcterms:created>
  <dc:creator>Apache POI</dc:creator>
</cp:coreProperties>
</file>