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oter+xml" PartName="/word/footer1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</Types>
</file>

<file path=_rels/.rels><?xml version="1.0" encoding="UTF-8" standalone="yes"?><Relationships xmlns="http://schemas.openxmlformats.org/package/2006/relationships"><Relationship Id="rId1" Target="word/document.xml" Type="http://schemas.openxmlformats.org/officeDocument/2006/relationships/officeDocument"/><Relationship Id="rId2" Target="docProps/app.xml" Type="http://schemas.openxmlformats.org/officeDocument/2006/relationships/extended-properties"/><Relationship Id="rId3" Target="docProps/core.xml" Type="http://schemas.openxmlformats.org/package/2006/relationships/metadata/core-properties"/></Relationships>
</file>

<file path=word/document.xml><?xml version="1.0" encoding="utf-8"?>
<w:document xmlns:w="http://schemas.openxmlformats.org/wordprocessingml/2006/main" xmlns:r="http://schemas.openxmlformats.org/officeDocument/2006/relationships">
  <w:body>
    <w:p>
      <w:pPr>
        <w:spacing w:before="480" w:after="480" w:line="288" w:lineRule="auto"/>
        <w:ind w:left="0"/>
      </w:pPr>
      <w:r>
        <w:rPr>
          <w:rFonts w:eastAsia="等线" w:ascii="Arial" w:cs="Arial" w:hAnsi="Arial"/>
          <w:b w:val="true"/>
          <w:sz w:val="52"/>
        </w:rPr>
        <w:t>ESG碳信用上链指引（NAC原生公链合规版）V1.0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0" w:id="0"/>
      <w:r>
        <w:rPr>
          <w:rFonts w:eastAsia="等线" w:ascii="Arial" w:cs="Arial" w:hAnsi="Arial"/>
          <w:b w:val="true"/>
          <w:sz w:val="32"/>
        </w:rPr>
        <w:t>指引说明</w:t>
      </w:r>
      <w:bookmarkEnd w:id="0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本指引旨在为基于</w:t>
      </w:r>
      <w:r>
        <w:rPr>
          <w:rFonts w:eastAsia="等线" w:ascii="Arial" w:cs="Arial" w:hAnsi="Arial"/>
          <w:b w:val="true"/>
          <w:sz w:val="22"/>
        </w:rPr>
        <w:t>NAC公链原生技术栈</w:t>
      </w:r>
      <w:r>
        <w:rPr>
          <w:rFonts w:eastAsia="等线" w:ascii="Arial" w:cs="Arial" w:hAnsi="Arial"/>
          <w:sz w:val="22"/>
        </w:rPr>
        <w:t xml:space="preserve"> 的环境、社会与治理（ESG）资产——特别是碳信用——的数字化、交易与注销提供标准化框架。核心目标是通过区块链的可追溯、不可篡改和可编程特性，解决当前自愿碳市场（VCM）的核心痛点：</w:t>
      </w:r>
      <w:r>
        <w:rPr>
          <w:rFonts w:eastAsia="等线" w:ascii="Arial" w:cs="Arial" w:hAnsi="Arial"/>
          <w:b w:val="true"/>
          <w:sz w:val="22"/>
        </w:rPr>
        <w:t>透明性不足、重复计算、流动性差以及“漂绿”风险</w:t>
      </w:r>
      <w:r>
        <w:rPr>
          <w:rFonts w:eastAsia="等线" w:ascii="Arial" w:cs="Arial" w:hAnsi="Arial"/>
          <w:sz w:val="22"/>
        </w:rPr>
        <w:t>，从而构建一个高效、可信、全球互认的链上碳信用基础设施。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" w:id="1"/>
      <w:r>
        <w:rPr>
          <w:rFonts w:eastAsia="等线" w:ascii="Arial" w:cs="Arial" w:hAnsi="Arial"/>
          <w:b w:val="true"/>
          <w:sz w:val="32"/>
        </w:rPr>
        <w:t>第一章：NAC原生框架下的碳信用上链总则</w:t>
      </w:r>
      <w:bookmarkEnd w:id="1"/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2" w:id="2"/>
      <w:r>
        <w:rPr>
          <w:rFonts w:eastAsia="等线" w:ascii="Arial" w:cs="Arial" w:hAnsi="Arial"/>
          <w:b w:val="true"/>
          <w:sz w:val="30"/>
        </w:rPr>
        <w:t>第1条 上链核心范式</w:t>
      </w:r>
      <w:bookmarkEnd w:id="2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在NAC公链上，碳信用上链的本质是将其从一份 </w:t>
      </w:r>
      <w:r>
        <w:rPr>
          <w:rFonts w:eastAsia="等线" w:ascii="Arial" w:cs="Arial" w:hAnsi="Arial"/>
          <w:b w:val="true"/>
          <w:sz w:val="22"/>
        </w:rPr>
        <w:t>“核证减排量报告”</w:t>
      </w:r>
      <w:r>
        <w:rPr>
          <w:rFonts w:eastAsia="等线" w:ascii="Arial" w:cs="Arial" w:hAnsi="Arial"/>
          <w:sz w:val="22"/>
        </w:rPr>
        <w:t xml:space="preserve"> 转化为一个 </w:t>
      </w:r>
      <w:r>
        <w:rPr>
          <w:rFonts w:eastAsia="等线" w:ascii="Arial" w:cs="Arial" w:hAnsi="Arial"/>
          <w:b w:val="true"/>
          <w:sz w:val="22"/>
        </w:rPr>
        <w:t>“可编程的环境权益智能合约包”</w:t>
      </w:r>
      <w:r>
        <w:rPr>
          <w:rFonts w:eastAsia="等线" w:ascii="Arial" w:cs="Arial" w:hAnsi="Arial"/>
          <w:sz w:val="22"/>
        </w:rPr>
        <w:t>。这要求：</w:t>
      </w:r>
    </w:p>
    <w:p>
      <w:pPr>
        <w:numPr>
          <w:numId w:val="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数据原子化锚定</w:t>
      </w:r>
      <w:r>
        <w:rPr>
          <w:rFonts w:eastAsia="等线" w:ascii="Arial" w:cs="Arial" w:hAnsi="Arial"/>
          <w:sz w:val="22"/>
        </w:rPr>
        <w:t>：将项目设计文件（PDD）、监测报告（MR）、核证报告的关键数据与结论，以哈希形式永久、不可篡改地锚定在链上，并与唯一的碳信用批次ID绑定。</w:t>
      </w:r>
    </w:p>
    <w:p>
      <w:pPr>
        <w:numPr>
          <w:numId w:val="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信用主权化定义</w:t>
      </w:r>
      <w:r>
        <w:rPr>
          <w:rFonts w:eastAsia="等线" w:ascii="Arial" w:cs="Arial" w:hAnsi="Arial"/>
          <w:sz w:val="22"/>
        </w:rPr>
        <w:t xml:space="preserve">：每一单位碳信用（1吨CO₂e）被定义为一种 </w:t>
      </w:r>
      <w:r>
        <w:rPr>
          <w:rFonts w:eastAsia="Consolas" w:ascii="Consolas" w:cs="Consolas" w:hAnsi="Consolas"/>
          <w:b w:val="true"/>
          <w:sz w:val="22"/>
          <w:shd w:fill="EFF0F1"/>
        </w:rPr>
        <w:t>C0</w:t>
      </w:r>
      <w:r>
        <w:rPr>
          <w:rFonts w:eastAsia="等线" w:ascii="Arial" w:cs="Arial" w:hAnsi="Arial"/>
          <w:b w:val="true"/>
          <w:sz w:val="22"/>
        </w:rPr>
        <w:t>（有条件所有权）</w:t>
      </w:r>
      <w:r>
        <w:rPr>
          <w:rFonts w:eastAsia="等线" w:ascii="Arial" w:cs="Arial" w:hAnsi="Arial"/>
          <w:sz w:val="22"/>
        </w:rPr>
        <w:t xml:space="preserve"> 资产。其“条件”是：</w:t>
      </w:r>
      <w:r>
        <w:rPr>
          <w:rFonts w:eastAsia="等线" w:ascii="Arial" w:cs="Arial" w:hAnsi="Arial"/>
          <w:b w:val="true"/>
          <w:sz w:val="22"/>
        </w:rPr>
        <w:t>仅可用于抵消一次碳排放，且抵消后必须立即永久注销（退休）</w:t>
      </w:r>
      <w:r>
        <w:rPr>
          <w:rFonts w:eastAsia="等线" w:ascii="Arial" w:cs="Arial" w:hAnsi="Arial"/>
          <w:sz w:val="22"/>
        </w:rPr>
        <w:t>。此核心逻辑通过智能合约强制执行。</w:t>
      </w:r>
    </w:p>
    <w:p>
      <w:pPr>
        <w:numPr>
          <w:numId w:val="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生命全周期可编程</w:t>
      </w:r>
      <w:r>
        <w:rPr>
          <w:rFonts w:eastAsia="等线" w:ascii="Arial" w:cs="Arial" w:hAnsi="Arial"/>
          <w:sz w:val="22"/>
        </w:rPr>
        <w:t>：碳信用的</w:t>
      </w:r>
      <w:r>
        <w:rPr>
          <w:rFonts w:eastAsia="等线" w:ascii="Arial" w:cs="Arial" w:hAnsi="Arial"/>
          <w:b w:val="true"/>
          <w:sz w:val="22"/>
        </w:rPr>
        <w:t>铸造、持有、交易、质押、注销（退休）</w:t>
      </w:r>
      <w:r>
        <w:rPr>
          <w:rFonts w:eastAsia="等线" w:ascii="Arial" w:cs="Arial" w:hAnsi="Arial"/>
          <w:sz w:val="22"/>
        </w:rPr>
        <w:t>等全生命周期行为，均由智能合约管理，并自动生成可审计的链上记录。</w:t>
      </w:r>
    </w:p>
    <w:p>
      <w:pPr>
        <w:numPr>
          <w:numId w:val="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价值由XTZH增强信誉</w:t>
      </w:r>
      <w:r>
        <w:rPr>
          <w:rFonts w:eastAsia="等线" w:ascii="Arial" w:cs="Arial" w:hAnsi="Arial"/>
          <w:sz w:val="22"/>
        </w:rPr>
        <w:t xml:space="preserve">：项目开发商或初始发行人可自愿质押 </w:t>
      </w:r>
      <w:r>
        <w:rPr>
          <w:rFonts w:eastAsia="等线" w:ascii="Arial" w:cs="Arial" w:hAnsi="Arial"/>
          <w:b w:val="true"/>
          <w:sz w:val="22"/>
        </w:rPr>
        <w:t>XTZH</w:t>
      </w:r>
      <w:r>
        <w:rPr>
          <w:rFonts w:eastAsia="等线" w:ascii="Arial" w:cs="Arial" w:hAnsi="Arial"/>
          <w:sz w:val="22"/>
        </w:rPr>
        <w:t xml:space="preserve"> 作为“质量保证金”，为特定批次碳信用的环境完整性和质量提供额外经济担保，提升其市场信誉与流动性。</w:t>
      </w: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3" w:id="3"/>
      <w:r>
        <w:rPr>
          <w:rFonts w:eastAsia="等线" w:ascii="Arial" w:cs="Arial" w:hAnsi="Arial"/>
          <w:b w:val="true"/>
          <w:sz w:val="30"/>
        </w:rPr>
        <w:t>第2条 核心支柱</w:t>
      </w:r>
      <w:bookmarkEnd w:id="3"/>
    </w:p>
    <w:p>
      <w:pPr>
        <w:numPr>
          <w:numId w:val="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GNACS ESG属性与环境标签</w:t>
      </w:r>
      <w:r>
        <w:rPr>
          <w:rFonts w:eastAsia="等线" w:ascii="Arial" w:cs="Arial" w:hAnsi="Arial"/>
          <w:sz w:val="22"/>
        </w:rPr>
        <w:t>：GNACS第19-20位（ESG属性）是核心分类（如</w:t>
      </w:r>
      <w:r>
        <w:rPr>
          <w:rFonts w:eastAsia="Consolas" w:ascii="Consolas" w:cs="Consolas" w:hAnsi="Consolas"/>
          <w:sz w:val="22"/>
          <w:shd w:fill="EFF0F1"/>
        </w:rPr>
        <w:t>01</w:t>
      </w:r>
      <w:r>
        <w:rPr>
          <w:rFonts w:eastAsia="等线" w:ascii="Arial" w:cs="Arial" w:hAnsi="Arial"/>
          <w:sz w:val="22"/>
        </w:rPr>
        <w:t>：碳负排放项目）。需扩展编码以精确描述**项目类型**（如植树造林、可再生能源）、**方法学**（如VCS方法学VM0004）、**地理位置**和**核证标准**（如Verra, Gold Standard）。</w:t>
      </w:r>
    </w:p>
    <w:p>
      <w:pPr>
        <w:numPr>
          <w:numId w:val="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权威核证机构预言机网络</w:t>
      </w:r>
      <w:r>
        <w:rPr>
          <w:rFonts w:eastAsia="等线" w:ascii="Arial" w:cs="Arial" w:hAnsi="Arial"/>
          <w:sz w:val="22"/>
        </w:rPr>
        <w:t xml:space="preserve">：由国际主流碳标准（如Verra、Gold Standard、CDM）授权或NAC治理认证的 </w:t>
      </w:r>
      <w:r>
        <w:rPr>
          <w:rFonts w:eastAsia="等线" w:ascii="Arial" w:cs="Arial" w:hAnsi="Arial"/>
          <w:b w:val="true"/>
          <w:sz w:val="22"/>
        </w:rPr>
        <w:t>“核证机构节点”</w:t>
      </w:r>
      <w:r>
        <w:rPr>
          <w:rFonts w:eastAsia="等线" w:ascii="Arial" w:cs="Arial" w:hAnsi="Arial"/>
          <w:sz w:val="22"/>
        </w:rPr>
        <w:t xml:space="preserve"> ，负责将线下核证通过的最终结论（“批准签发XX吨信用”）及其报告哈希，使用机构私钥签名后上链，作为智能合约**铸造**碳信用代币的唯一触发指令。</w:t>
      </w:r>
    </w:p>
    <w:p>
      <w:pPr>
        <w:numPr>
          <w:numId w:val="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全球注销登记簿与防重复计算引擎</w:t>
      </w:r>
      <w:r>
        <w:rPr>
          <w:rFonts w:eastAsia="等线" w:ascii="Arial" w:cs="Arial" w:hAnsi="Arial"/>
          <w:sz w:val="22"/>
        </w:rPr>
        <w:t xml:space="preserve">：NAC链上维护一个全球公开的 </w:t>
      </w:r>
      <w:r>
        <w:rPr>
          <w:rFonts w:eastAsia="等线" w:ascii="Arial" w:cs="Arial" w:hAnsi="Arial"/>
          <w:b w:val="true"/>
          <w:sz w:val="22"/>
        </w:rPr>
        <w:t>“碳信用注销状态账本”</w:t>
      </w:r>
      <w:r>
        <w:rPr>
          <w:rFonts w:eastAsia="等线" w:ascii="Arial" w:cs="Arial" w:hAnsi="Arial"/>
          <w:sz w:val="22"/>
        </w:rPr>
        <w:t>。任何注销操作都在链上原子化完成，并生成唯一证明。通过与Vera等传统登记簿的预言机桥接，确保链上链下信用状态同步，从根本上杜绝双重计算。</w:t>
      </w:r>
    </w:p>
    <w:p>
      <w:pPr>
        <w:numPr>
          <w:numId w:val="8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ACC-1155多代币标准</w:t>
      </w:r>
      <w:r>
        <w:rPr>
          <w:rFonts w:eastAsia="等线" w:ascii="Arial" w:cs="Arial" w:hAnsi="Arial"/>
          <w:sz w:val="22"/>
        </w:rPr>
        <w:t>：碳信用以批次形式管理，同一项目下的不同批次（vintage year, 项目期）可能具有不同属性。ACC-1155标准完美支持以“批次ID”为单位，进行批量的、可追溯的发行、交易和注销。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4" w:id="4"/>
      <w:r>
        <w:rPr>
          <w:rFonts w:eastAsia="等线" w:ascii="Arial" w:cs="Arial" w:hAnsi="Arial"/>
          <w:b w:val="true"/>
          <w:sz w:val="32"/>
        </w:rPr>
        <w:t>第二章：参与方在NAC链上的角色与数据流</w:t>
      </w:r>
      <w:bookmarkEnd w:id="4"/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5" w:id="5"/>
      <w:r>
        <w:rPr>
          <w:rFonts w:eastAsia="等线" w:ascii="Arial" w:cs="Arial" w:hAnsi="Arial"/>
          <w:b w:val="true"/>
          <w:sz w:val="30"/>
        </w:rPr>
        <w:t>第3条 系统架构与数据流</w:t>
      </w:r>
      <w:bookmarkEnd w:id="5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  <w:shd w:fill="dee0e3"/>
        </w:rPr>
        <w:t>[流程图暂不支持下载]</w:t>
      </w: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6" w:id="6"/>
      <w:r>
        <w:rPr>
          <w:rFonts w:eastAsia="等线" w:ascii="Arial" w:cs="Arial" w:hAnsi="Arial"/>
          <w:b w:val="true"/>
          <w:sz w:val="30"/>
        </w:rPr>
        <w:t>第4条 关键参与方职责</w:t>
      </w:r>
      <w:bookmarkEnd w:id="6"/>
    </w:p>
    <w:p>
      <w:pPr>
        <w:numPr>
          <w:numId w:val="9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授权核证机构预言机</w:t>
      </w:r>
      <w:r>
        <w:rPr>
          <w:rFonts w:eastAsia="等线" w:ascii="Arial" w:cs="Arial" w:hAnsi="Arial"/>
          <w:sz w:val="22"/>
        </w:rPr>
        <w:t xml:space="preserve">：作为 </w:t>
      </w:r>
      <w:r>
        <w:rPr>
          <w:rFonts w:eastAsia="Consolas" w:ascii="Consolas" w:cs="Consolas" w:hAnsi="Consolas"/>
          <w:sz w:val="22"/>
          <w:shd w:fill="EFF0F1"/>
        </w:rPr>
        <w:t>B3</w:t>
      </w:r>
      <w:r>
        <w:rPr>
          <w:rFonts w:eastAsia="等线" w:ascii="Arial" w:cs="Arial" w:hAnsi="Arial"/>
          <w:sz w:val="22"/>
        </w:rPr>
        <w:t>（管理权-核证职能）的行使者，是连接链下信用生成与链上资产铸造的**信任桥梁**。其私钥签名的签发指令是合约执行的圣杯，因此其地址资格需由NAC治理和碳标准机构双重认可，并需质押高额XTZH作为安全与诚信保证金。</w:t>
      </w:r>
    </w:p>
    <w:p>
      <w:pPr>
        <w:numPr>
          <w:numId w:val="10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标准注册管理机构（如Verra）</w:t>
      </w:r>
      <w:r>
        <w:rPr>
          <w:rFonts w:eastAsia="等线" w:ascii="Arial" w:cs="Arial" w:hAnsi="Arial"/>
          <w:sz w:val="22"/>
        </w:rPr>
        <w:t>：保留链下的最终审批权。但其与NAC链的集成接口（API）状态，将成为其签发信用是否具备“链上原生能力”的标志，影响市场接受度。</w:t>
      </w:r>
    </w:p>
    <w:p>
      <w:pPr>
        <w:numPr>
          <w:numId w:val="1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项目开发商</w:t>
      </w:r>
      <w:r>
        <w:rPr>
          <w:rFonts w:eastAsia="等线" w:ascii="Arial" w:cs="Arial" w:hAnsi="Arial"/>
          <w:sz w:val="22"/>
        </w:rPr>
        <w:t>：可选择为其发行的碳信用批次，向“质量质押池”锁定XTZH。若未来该批次信用因任何原因（如方法论错误、项目失效）被碳标准机构**撤销（invalidated）**，质押的XTZH将被部分或全部罚没，用于回购并销毁已流通的无效信用。</w:t>
      </w:r>
    </w:p>
    <w:p>
      <w:pPr>
        <w:numPr>
          <w:numId w:val="1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最终企业用户/注销方</w:t>
      </w:r>
      <w:r>
        <w:rPr>
          <w:rFonts w:eastAsia="等线" w:ascii="Arial" w:cs="Arial" w:hAnsi="Arial"/>
          <w:sz w:val="22"/>
        </w:rPr>
        <w:t xml:space="preserve">：其注销操作是公开透明的。链上生成的 </w:t>
      </w:r>
      <w:r>
        <w:rPr>
          <w:rFonts w:eastAsia="等线" w:ascii="Arial" w:cs="Arial" w:hAnsi="Arial"/>
          <w:b w:val="true"/>
          <w:sz w:val="22"/>
        </w:rPr>
        <w:t>“可验证注销证明（VDR）”</w:t>
      </w:r>
      <w:r>
        <w:rPr>
          <w:rFonts w:eastAsia="等线" w:ascii="Arial" w:cs="Arial" w:hAnsi="Arial"/>
          <w:sz w:val="22"/>
        </w:rPr>
        <w:t xml:space="preserve"> 可直接嵌入其ESG报告，供公众和审计机构实时验证。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7" w:id="7"/>
      <w:r>
        <w:rPr>
          <w:rFonts w:eastAsia="等线" w:ascii="Arial" w:cs="Arial" w:hAnsi="Arial"/>
          <w:b w:val="true"/>
          <w:sz w:val="32"/>
        </w:rPr>
        <w:t>第三章：基于NAC原生技术的操作流程</w:t>
      </w:r>
      <w:bookmarkEnd w:id="7"/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8" w:id="8"/>
      <w:r>
        <w:rPr>
          <w:rFonts w:eastAsia="等线" w:ascii="Arial" w:cs="Arial" w:hAnsi="Arial"/>
          <w:b w:val="true"/>
          <w:sz w:val="30"/>
        </w:rPr>
        <w:t>第5条 全流程步骤</w:t>
      </w:r>
      <w:bookmarkEnd w:id="8"/>
    </w:p>
    <w:p>
      <w:pPr>
        <w:numPr>
          <w:numId w:val="1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项目注册与核证（链下）</w:t>
      </w:r>
      <w:r>
        <w:rPr>
          <w:rFonts w:eastAsia="等线" w:ascii="Arial" w:cs="Arial" w:hAnsi="Arial"/>
          <w:sz w:val="22"/>
        </w:rPr>
        <w:t>：项目按VCS等标准在传统体系内完成开发、监测、核证与注册。</w:t>
      </w:r>
    </w:p>
    <w:p>
      <w:pPr>
        <w:numPr>
          <w:numId w:val="1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签发指令上链（信任锚点）</w:t>
      </w:r>
      <w:r>
        <w:rPr>
          <w:rFonts w:eastAsia="等线" w:ascii="Arial" w:cs="Arial" w:hAnsi="Arial"/>
          <w:sz w:val="22"/>
        </w:rPr>
        <w:t>：</w:t>
        <w:br/>
        <w:t xml:space="preserve">        </w:t>
      </w:r>
    </w:p>
    <w:p>
      <w:pPr>
        <w:numPr>
          <w:numId w:val="15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 xml:space="preserve">核证机构在其后台系统点击“签发”，触发其预言机节点向NAC链上对应的 </w:t>
      </w:r>
      <w:r>
        <w:rPr>
          <w:rFonts w:eastAsia="Consolas" w:ascii="Consolas" w:cs="Consolas" w:hAnsi="Consolas"/>
          <w:sz w:val="22"/>
          <w:shd w:fill="EFF0F1"/>
        </w:rPr>
        <w:t>CarbonMinterV1</w:t>
      </w:r>
      <w:r>
        <w:rPr>
          <w:rFonts w:eastAsia="等线" w:ascii="Arial" w:cs="Arial" w:hAnsi="Arial"/>
          <w:sz w:val="22"/>
        </w:rPr>
        <w:t xml:space="preserve"> 合约发送一条签名消息，包含：</w:t>
      </w:r>
      <w:r>
        <w:rPr>
          <w:rFonts w:eastAsia="Consolas" w:ascii="Consolas" w:cs="Consolas" w:hAnsi="Consolas"/>
          <w:sz w:val="22"/>
          <w:shd w:fill="EFF0F1"/>
        </w:rPr>
        <w:t>项目ID</w:t>
      </w:r>
      <w:r>
        <w:rPr>
          <w:rFonts w:eastAsia="等线" w:ascii="Arial" w:cs="Arial" w:hAnsi="Arial"/>
          <w:sz w:val="22"/>
        </w:rPr>
        <w:t>、</w:t>
      </w:r>
      <w:r>
        <w:rPr>
          <w:rFonts w:eastAsia="Consolas" w:ascii="Consolas" w:cs="Consolas" w:hAnsi="Consolas"/>
          <w:sz w:val="22"/>
          <w:shd w:fill="EFF0F1"/>
        </w:rPr>
        <w:t>批次号</w:t>
      </w:r>
      <w:r>
        <w:rPr>
          <w:rFonts w:eastAsia="等线" w:ascii="Arial" w:cs="Arial" w:hAnsi="Arial"/>
          <w:sz w:val="22"/>
        </w:rPr>
        <w:t>、</w:t>
      </w:r>
      <w:r>
        <w:rPr>
          <w:rFonts w:eastAsia="Consolas" w:ascii="Consolas" w:cs="Consolas" w:hAnsi="Consolas"/>
          <w:sz w:val="22"/>
          <w:shd w:fill="EFF0F1"/>
        </w:rPr>
        <w:t>签发量</w:t>
      </w:r>
      <w:r>
        <w:rPr>
          <w:rFonts w:eastAsia="等线" w:ascii="Arial" w:cs="Arial" w:hAnsi="Arial"/>
          <w:sz w:val="22"/>
        </w:rPr>
        <w:t>、</w:t>
      </w:r>
      <w:r>
        <w:rPr>
          <w:rFonts w:eastAsia="Consolas" w:ascii="Consolas" w:cs="Consolas" w:hAnsi="Consolas"/>
          <w:sz w:val="22"/>
          <w:shd w:fill="EFF0F1"/>
        </w:rPr>
        <w:t>核证报告哈希</w:t>
      </w:r>
      <w:r>
        <w:rPr>
          <w:rFonts w:eastAsia="等线" w:ascii="Arial" w:cs="Arial" w:hAnsi="Arial"/>
          <w:sz w:val="22"/>
        </w:rPr>
        <w:t>。</w:t>
      </w:r>
    </w:p>
    <w:p>
      <w:pPr>
        <w:numPr>
          <w:numId w:val="1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链上合约铸造</w:t>
      </w:r>
      <w:r>
        <w:rPr>
          <w:rFonts w:eastAsia="等线" w:ascii="Arial" w:cs="Arial" w:hAnsi="Arial"/>
          <w:sz w:val="22"/>
        </w:rPr>
        <w:t>：</w:t>
        <w:br/>
      </w:r>
      <w:r>
        <w:rPr>
          <w:rFonts w:eastAsia="Consolas" w:ascii="Consolas" w:cs="Consolas" w:hAnsi="Consolas"/>
          <w:sz w:val="22"/>
          <w:shd w:fill="EFF0F1"/>
        </w:rPr>
        <w:t>contract CarbonMinterV1 {</w:t>
        <w:br/>
        <w:t xml:space="preserve">    function mintCredits(</w:t>
        <w:br/>
        <w:t xml:space="preserve">        bytes calldata issuanceCall, // 签发指令</w:t>
        <w:br/>
        <w:t xml:space="preserve">        bytes[] calldata verifierSignatures // 核证机构签名</w:t>
        <w:br/>
        <w:t xml:space="preserve">    ) external {</w:t>
        <w:br/>
        <w:t xml:space="preserve">        require(approvedVerifiers[msg.sender], "Not approved verifier");</w:t>
        <w:br/>
        <w:t xml:space="preserve">        require(checkSignatures(issuanceCall, verifierSignatures), "Invalid sigs");</w:t>
        <w:br/>
        <w:t xml:space="preserve">        </w:t>
        <w:br/>
        <w:t xml:space="preserve">        (string memory projectId, uint64 vintage, uint256 amount) = decodeCall(issuanceCall);</w:t>
        <w:br/>
        <w:t xml:space="preserve">        </w:t>
        <w:br/>
        <w:t xml:space="preserve">        // 生成该批次碳信用的唯一GNACS编码</w:t>
        <w:br/>
        <w:t xml:space="preserve">        bytes30 gnacsCode = _generateGNCAS(projectId, vintage, "VCS");</w:t>
        <w:br/>
        <w:t xml:space="preserve">        </w:t>
        <w:br/>
        <w:t xml:space="preserve">        // 铸造ACC-1155代币，tokenId 由 projectId+vintage 哈希生成</w:t>
        <w:br/>
        <w:t xml:space="preserve">        _mintBatch(issuingEntity, tokenId, amount, "");</w:t>
        <w:br/>
        <w:t xml:space="preserve">        </w:t>
        <w:br/>
        <w:t xml:space="preserve">        // 记录元数据（链接链下报告）</w:t>
        <w:br/>
        <w:t xml:space="preserve">        _setTokenURI(tokenId, ipfsHashOfReports);</w:t>
        <w:br/>
        <w:t xml:space="preserve">        </w:t>
        <w:br/>
        <w:t xml:space="preserve">        emit CreditsMinted(tokenId, amount, gnacsCode, msg.sender);</w:t>
        <w:br/>
        <w:t xml:space="preserve">    }</w:t>
        <w:br/>
        <w:t>}</w:t>
      </w:r>
    </w:p>
    <w:p>
      <w:pPr>
        <w:numPr>
          <w:numId w:val="1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二级市场交易与金融化</w:t>
      </w:r>
      <w:r>
        <w:rPr>
          <w:rFonts w:eastAsia="等线" w:ascii="Arial" w:cs="Arial" w:hAnsi="Arial"/>
          <w:sz w:val="22"/>
        </w:rPr>
        <w:t>：</w:t>
        <w:br/>
        <w:t xml:space="preserve">       </w:t>
      </w:r>
    </w:p>
    <w:p>
      <w:pPr>
        <w:numPr>
          <w:numId w:val="18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碳信用代币可在集成了KYC的NAC DEX或OTC平台交易。</w:t>
      </w:r>
    </w:p>
    <w:p>
      <w:pPr>
        <w:numPr>
          <w:numId w:val="19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可存入“绿色资产金库”作为抵押品进行借贷，或生成衍生收益产品。</w:t>
      </w:r>
    </w:p>
    <w:p>
      <w:pPr>
        <w:numPr>
          <w:numId w:val="20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最终注销（退休）</w:t>
      </w:r>
      <w:r>
        <w:rPr>
          <w:rFonts w:eastAsia="等线" w:ascii="Arial" w:cs="Arial" w:hAnsi="Arial"/>
          <w:sz w:val="22"/>
        </w:rPr>
        <w:t>：</w:t>
        <w:br/>
        <w:t xml:space="preserve">        </w:t>
      </w:r>
      <w:r>
        <w:rPr>
          <w:rFonts w:eastAsia="Consolas" w:ascii="Consolas" w:cs="Consolas" w:hAnsi="Consolas"/>
          <w:sz w:val="22"/>
          <w:shd w:fill="EFF0F1"/>
        </w:rPr>
        <w:t>function retire(uint256 tokenId, uint256 amount, string memory retiringEntity, string memory benefitPurpose) external {</w:t>
        <w:br/>
        <w:t xml:space="preserve">    // 1. 检查调用者是否有足额信用</w:t>
        <w:br/>
        <w:t xml:space="preserve">    require(balanceOf(msg.sender, tokenId) &gt;= amount, "Insufficient balance");</w:t>
        <w:br/>
        <w:t xml:space="preserve">    // 2. 销毁代币</w:t>
        <w:br/>
        <w:t xml:space="preserve">    _burn(msg.sender, tokenId, amount);</w:t>
        <w:br/>
        <w:t xml:space="preserve">    // 3. **在全局注销登记簿中永久记录**</w:t>
        <w:br/>
        <w:t xml:space="preserve">    GlobalRetirementRegistry.recordRetirement(tokenId, amount, msg.sender, retiringEntity, benefitPurpose, block.timestamp);</w:t>
        <w:br/>
        <w:t xml:space="preserve">    // 4. 生成并发送可验证注销证明（VDR）NFT给调用者</w:t>
        <w:br/>
        <w:t xml:space="preserve">    _mintRetirementCertificate(msg.sender, retirementId);</w:t>
        <w:br/>
        <w:t xml:space="preserve">    </w:t>
        <w:br/>
        <w:t xml:space="preserve">    emit CreditsRetired(tokenId, amount, msg.sender, retirementId);</w:t>
        <w:br/>
        <w:t>}</w:t>
      </w:r>
    </w:p>
    <w:p>
      <w:pPr>
        <w:numPr>
          <w:numId w:val="21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注销后，该批次的代币供应量永久减少，对应减排量被“使用”。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9" w:id="9"/>
      <w:r>
        <w:rPr>
          <w:rFonts w:eastAsia="等线" w:ascii="Arial" w:cs="Arial" w:hAnsi="Arial"/>
          <w:b w:val="true"/>
          <w:sz w:val="32"/>
        </w:rPr>
        <w:t>第四章：核心合约模板与机制</w:t>
      </w:r>
      <w:bookmarkEnd w:id="9"/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10" w:id="10"/>
      <w:r>
        <w:rPr>
          <w:rFonts w:eastAsia="等线" w:ascii="Arial" w:cs="Arial" w:hAnsi="Arial"/>
          <w:b w:val="true"/>
          <w:sz w:val="30"/>
        </w:rPr>
        <w:t>第6条 质量质押与保险合约（`QualityStakingPoolV1.sol`）</w:t>
      </w:r>
      <w:bookmarkEnd w:id="10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solidity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// 项目方可选质押XTZH为其信用质量背书</w:t>
              <w:br/>
              <w:t>contract QualityStakingPoolV1 {</w:t>
              <w:br/>
              <w:t xml:space="preserve">    mapping(bytes32 tokenId =&gt; uint256 stakedXTZH) public stakeAmount;</w:t>
              <w:br/>
              <w:t xml:space="preserve">    mapping(bytes32 tokenId =&gt; address) public staker;</w:t>
              <w:br/>
              <w:t xml:space="preserve">    </w:t>
              <w:br/>
              <w:t xml:space="preserve">    function stakeForCredit(bytes32 tokenId, uint256 xtzhAmount) external {</w:t>
              <w:br/>
              <w:t xml:space="preserve">        // 项目方质押XTZH</w:t>
              <w:br/>
              <w:t xml:space="preserve">        xtzhToken.transferFrom(msg.sender, address(this), xtzhAmount);</w:t>
              <w:br/>
              <w:t xml:space="preserve">        stakeAmount[tokenId] += xtzhAmount;</w:t>
              <w:br/>
              <w:t xml:space="preserve">        staker[tokenId] = msg.sender;</w:t>
              <w:br/>
              <w:t xml:space="preserve">    }</w:t>
              <w:br/>
              <w:t xml:space="preserve">    </w:t>
              <w:br/>
              <w:t xml:space="preserve">    // 若信用被标准机构撤销，任何人都可触发罚没</w:t>
              <w:br/>
              <w:t xml:space="preserve">    function slashOnInvalidation(bytes32 tokenId, bytes calldata invalidationProof) external {</w:t>
              <w:br/>
              <w:t xml:space="preserve">        require(StandardRegistryOracle.confirmInvalidation(invalidationProof), "Invalid proof");</w:t>
              <w:br/>
              <w:t xml:space="preserve">        uint256 toSlash = stakeAmount[tokenId];</w:t>
              <w:br/>
              <w:t xml:space="preserve">        stakeAmount[tokenId] = 0;</w:t>
              <w:br/>
              <w:t xml:space="preserve">        // 50%用于从市场回购并销毁无效信用，50%销毁</w:t>
              <w:br/>
              <w:t xml:space="preserve">        _buyBackAndBurn(tokenId, toSlash / 2);</w:t>
              <w:br/>
              <w:t xml:space="preserve">        xtzhToken.burn(toSlash / 2);</w:t>
              <w:br/>
              <w:t xml:space="preserve">    }</w:t>
              <w:br/>
              <w:t>}</w:t>
            </w:r>
          </w:p>
        </w:tc>
      </w:tr>
    </w:tbl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11" w:id="11"/>
      <w:r>
        <w:rPr>
          <w:rFonts w:eastAsia="等线" w:ascii="Arial" w:cs="Arial" w:hAnsi="Arial"/>
          <w:b w:val="true"/>
          <w:sz w:val="30"/>
        </w:rPr>
        <w:t>第7条 跨链互认桥接合约（`CrossChainCarbonBridgeV1.sol`）</w:t>
      </w:r>
      <w:bookmarkEnd w:id="11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solidity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// 连接NAC链与其他链（如Verra登记簿链）的碳信用状态</w:t>
              <w:br/>
              <w:t>contract CrossChainCarbonBridgeV1 {</w:t>
              <w:br/>
              <w:t xml:space="preserve">    // 将传统登记簿的信用“桥接”为NAC原生信用（需冻结原登记簿信用）</w:t>
              <w:br/>
              <w:t xml:space="preserve">    function bridgeIn(bytes calldata offChainCreditId, bytes calldata custodianSig) external returns (uint256 nacTokenId) {</w:t>
              <w:br/>
              <w:t xml:space="preserve">        // 验证原登记簿托管方签名，确认信用已锁定</w:t>
              <w:br/>
              <w:t xml:space="preserve">        // 在NAC链上铸造等量信用</w:t>
              <w:br/>
              <w:t xml:space="preserve">    }</w:t>
              <w:br/>
              <w:t xml:space="preserve">    </w:t>
              <w:br/>
              <w:t xml:space="preserve">    // 将NAC信用桥接回去（用于在传统体系注销）</w:t>
              <w:br/>
              <w:t xml:space="preserve">    function bridgeOut(uint256 nacTokenId, bytes calldata targetChainAccount) external {</w:t>
              <w:br/>
              <w:t xml:space="preserve">        // 在NAC链上销毁信用</w:t>
              <w:br/>
              <w:t xml:space="preserve">        // 通知原登记簿解锁信用</w:t>
              <w:br/>
              <w:t xml:space="preserve">    }</w:t>
              <w:br/>
              <w:t>}</w:t>
            </w:r>
          </w:p>
        </w:tc>
      </w:tr>
    </w:tbl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2" w:id="12"/>
      <w:r>
        <w:rPr>
          <w:rFonts w:eastAsia="等线" w:ascii="Arial" w:cs="Arial" w:hAnsi="Arial"/>
          <w:b w:val="true"/>
          <w:sz w:val="32"/>
        </w:rPr>
        <w:t>第五章：风险、合规与治理</w:t>
      </w:r>
      <w:bookmarkEnd w:id="12"/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13" w:id="13"/>
      <w:r>
        <w:rPr>
          <w:rFonts w:eastAsia="等线" w:ascii="Arial" w:cs="Arial" w:hAnsi="Arial"/>
          <w:b w:val="true"/>
          <w:sz w:val="30"/>
        </w:rPr>
        <w:t>第8条 特有风险提示</w:t>
      </w:r>
      <w:bookmarkEnd w:id="13"/>
    </w:p>
    <w:p>
      <w:pPr>
        <w:numPr>
          <w:numId w:val="2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预言机中心化与核证风险</w:t>
      </w:r>
      <w:r>
        <w:rPr>
          <w:rFonts w:eastAsia="等线" w:ascii="Arial" w:cs="Arial" w:hAnsi="Arial"/>
          <w:sz w:val="22"/>
        </w:rPr>
        <w:t>：核证机构预言机是单一信任点，其私钥泄露或作恶会导致虚假信用被铸造。必须采用多节点阈值签名，并建立机构声誉和质押惩罚体系。</w:t>
      </w:r>
    </w:p>
    <w:p>
      <w:pPr>
        <w:numPr>
          <w:numId w:val="2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环境完整性逆转风险</w:t>
      </w:r>
      <w:r>
        <w:rPr>
          <w:rFonts w:eastAsia="等线" w:ascii="Arial" w:cs="Arial" w:hAnsi="Arial"/>
          <w:sz w:val="22"/>
        </w:rPr>
        <w:t>：已签发的碳信用对应的减排量，可能因森林火灾、泄漏等自然或管理原因而逆转。需要设计**缓冲池机制**，自动从每一批签发信用中抽取一定比例（如20%）存入链上缓冲池，用于对冲未来可能发生的逆转损失。</w:t>
      </w:r>
    </w:p>
    <w:p>
      <w:pPr>
        <w:numPr>
          <w:numId w:val="2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法律与标准冲突风险</w:t>
      </w:r>
      <w:r>
        <w:rPr>
          <w:rFonts w:eastAsia="等线" w:ascii="Arial" w:cs="Arial" w:hAnsi="Arial"/>
          <w:sz w:val="22"/>
        </w:rPr>
        <w:t>：不同司法管辖区对碳信用的法律属性认定不同。链上信用需明确其代表的是基于特定标准的“减排量指标”，而非金融证券，并遵循相关法规。</w:t>
      </w:r>
    </w:p>
    <w:p>
      <w:pPr>
        <w:numPr>
          <w:numId w:val="2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“漂绿”与声誉风险</w:t>
      </w:r>
      <w:r>
        <w:rPr>
          <w:rFonts w:eastAsia="等线" w:ascii="Arial" w:cs="Arial" w:hAnsi="Arial"/>
          <w:sz w:val="22"/>
        </w:rPr>
        <w:t>：若低质量项目通过此系统上链，将损害整个NAC绿色资产生态的信誉。必须通过严格的GNACS分类、透明的全链路数据和高昂的作恶成本（XTZH罚没）来防范。</w:t>
      </w: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14" w:id="14"/>
      <w:r>
        <w:rPr>
          <w:rFonts w:eastAsia="等线" w:ascii="Arial" w:cs="Arial" w:hAnsi="Arial"/>
          <w:b w:val="true"/>
          <w:sz w:val="30"/>
        </w:rPr>
        <w:t>第9条 合规要点</w:t>
      </w:r>
      <w:bookmarkEnd w:id="14"/>
    </w:p>
    <w:p>
      <w:pPr>
        <w:numPr>
          <w:numId w:val="2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尊重现有标准体系</w:t>
      </w:r>
      <w:r>
        <w:rPr>
          <w:rFonts w:eastAsia="等线" w:ascii="Arial" w:cs="Arial" w:hAnsi="Arial"/>
          <w:sz w:val="22"/>
        </w:rPr>
        <w:t xml:space="preserve">：链上系统是现有碳标准体系的 </w:t>
      </w:r>
      <w:r>
        <w:rPr>
          <w:rFonts w:eastAsia="等线" w:ascii="Arial" w:cs="Arial" w:hAnsi="Arial"/>
          <w:b w:val="true"/>
          <w:sz w:val="22"/>
        </w:rPr>
        <w:t>“增效层”和“互操作层”</w:t>
      </w:r>
      <w:r>
        <w:rPr>
          <w:rFonts w:eastAsia="等线" w:ascii="Arial" w:cs="Arial" w:hAnsi="Arial"/>
          <w:sz w:val="22"/>
        </w:rPr>
        <w:t xml:space="preserve"> ，而非替代。所有操作必须与现有标准流程兼容。</w:t>
      </w:r>
    </w:p>
    <w:p>
      <w:pPr>
        <w:numPr>
          <w:numId w:val="2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数据隐私与知识产权</w:t>
      </w:r>
      <w:r>
        <w:rPr>
          <w:rFonts w:eastAsia="等线" w:ascii="Arial" w:cs="Arial" w:hAnsi="Arial"/>
          <w:sz w:val="22"/>
        </w:rPr>
        <w:t>：项目详细设计文件和监测数据可能涉及商业机密。指引采用“哈希上链，原文加密存储”原则，在透明与隐私间取得平衡。</w:t>
      </w:r>
    </w:p>
    <w:p>
      <w:pPr>
        <w:numPr>
          <w:numId w:val="28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税收与碳关税（CBAM）</w:t>
      </w:r>
      <w:r>
        <w:rPr>
          <w:rFonts w:eastAsia="等线" w:ascii="Arial" w:cs="Arial" w:hAnsi="Arial"/>
          <w:sz w:val="22"/>
        </w:rPr>
        <w:t>：智能合约需记录每一次交易的参与方和金额，以生成符合要求的审计轨迹，协助应对欧盟CBAM等机制。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5" w:id="15"/>
      <w:r>
        <w:rPr>
          <w:rFonts w:eastAsia="等线" w:ascii="Arial" w:cs="Arial" w:hAnsi="Arial"/>
          <w:b w:val="true"/>
          <w:sz w:val="32"/>
        </w:rPr>
        <w:t>结语</w:t>
      </w:r>
      <w:bookmarkEnd w:id="15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本指引旨在将NAC公链构建为全球自愿碳市场的</w:t>
      </w:r>
      <w:r>
        <w:rPr>
          <w:rFonts w:eastAsia="等线" w:ascii="Arial" w:cs="Arial" w:hAnsi="Arial"/>
          <w:b w:val="true"/>
          <w:sz w:val="22"/>
        </w:rPr>
        <w:t>“可信清算层”和“创新发动机”</w:t>
      </w:r>
      <w:r>
        <w:rPr>
          <w:rFonts w:eastAsia="等线" w:ascii="Arial" w:cs="Arial" w:hAnsi="Arial"/>
          <w:sz w:val="22"/>
        </w:rPr>
        <w:t xml:space="preserve"> 。它不仅解决现有市场痛点，更通过可编程性开启了碳信用金融化、组合化的无限可能。</w:t>
      </w:r>
      <w:r>
        <w:rPr>
          <w:rFonts w:eastAsia="等线" w:ascii="Arial" w:cs="Arial" w:hAnsi="Arial"/>
          <w:b w:val="true"/>
          <w:sz w:val="22"/>
        </w:rPr>
        <w:t>建议的首个概念验证（PoC）</w:t>
      </w:r>
      <w:r>
        <w:rPr>
          <w:rFonts w:eastAsia="等线" w:ascii="Arial" w:cs="Arial" w:hAnsi="Arial"/>
          <w:sz w:val="22"/>
        </w:rPr>
        <w:t xml:space="preserve"> 应与 </w:t>
      </w:r>
      <w:r>
        <w:rPr>
          <w:rFonts w:eastAsia="等线" w:ascii="Arial" w:cs="Arial" w:hAnsi="Arial"/>
          <w:b w:val="true"/>
          <w:sz w:val="22"/>
        </w:rPr>
        <w:t>一家国际认可的核证机构（如DNV、SCS）</w:t>
      </w:r>
      <w:r>
        <w:rPr>
          <w:rFonts w:eastAsia="等线" w:ascii="Arial" w:cs="Arial" w:hAnsi="Arial"/>
          <w:sz w:val="22"/>
        </w:rPr>
        <w:t xml:space="preserve"> 及一个 </w:t>
      </w:r>
      <w:r>
        <w:rPr>
          <w:rFonts w:eastAsia="等线" w:ascii="Arial" w:cs="Arial" w:hAnsi="Arial"/>
          <w:b w:val="true"/>
          <w:sz w:val="22"/>
        </w:rPr>
        <w:t>成熟的VCS林业碳汇项目</w:t>
      </w:r>
      <w:r>
        <w:rPr>
          <w:rFonts w:eastAsia="等线" w:ascii="Arial" w:cs="Arial" w:hAnsi="Arial"/>
          <w:sz w:val="22"/>
        </w:rPr>
        <w:t xml:space="preserve"> 合作，在NAC测试网上完成从 </w:t>
      </w:r>
      <w:r>
        <w:rPr>
          <w:rFonts w:eastAsia="等线" w:ascii="Arial" w:cs="Arial" w:hAnsi="Arial"/>
          <w:b w:val="true"/>
          <w:sz w:val="22"/>
        </w:rPr>
        <w:t>“核证报告上链”</w:t>
      </w:r>
      <w:r>
        <w:rPr>
          <w:rFonts w:eastAsia="等线" w:ascii="Arial" w:cs="Arial" w:hAnsi="Arial"/>
          <w:sz w:val="22"/>
        </w:rPr>
        <w:t xml:space="preserve"> 到 </w:t>
      </w:r>
      <w:r>
        <w:rPr>
          <w:rFonts w:eastAsia="等线" w:ascii="Arial" w:cs="Arial" w:hAnsi="Arial"/>
          <w:b w:val="true"/>
          <w:sz w:val="22"/>
        </w:rPr>
        <w:t>“铸造-交易-最终注销”</w:t>
      </w:r>
      <w:r>
        <w:rPr>
          <w:rFonts w:eastAsia="等线" w:ascii="Arial" w:cs="Arial" w:hAnsi="Arial"/>
          <w:sz w:val="22"/>
        </w:rPr>
        <w:t xml:space="preserve"> 的全流程，并模拟 </w:t>
      </w:r>
      <w:r>
        <w:rPr>
          <w:rFonts w:eastAsia="等线" w:ascii="Arial" w:cs="Arial" w:hAnsi="Arial"/>
          <w:b w:val="true"/>
          <w:sz w:val="22"/>
        </w:rPr>
        <w:t>“逆转事件”</w:t>
      </w:r>
      <w:r>
        <w:rPr>
          <w:rFonts w:eastAsia="等线" w:ascii="Arial" w:cs="Arial" w:hAnsi="Arial"/>
          <w:sz w:val="22"/>
        </w:rPr>
        <w:t xml:space="preserve"> 触发缓冲池补充机制，以验证其环境完整性和商业可行性。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指引制定方</w:t>
      </w:r>
      <w:r>
        <w:rPr>
          <w:rFonts w:eastAsia="等线" w:ascii="Arial" w:cs="Arial" w:hAnsi="Arial"/>
          <w:sz w:val="22"/>
        </w:rPr>
        <w:t>：NAC核心协议委员会 与 NAC绿色金融工作组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版本</w:t>
      </w:r>
      <w:r>
        <w:rPr>
          <w:rFonts w:eastAsia="等线" w:ascii="Arial" w:cs="Arial" w:hAnsi="Arial"/>
          <w:sz w:val="22"/>
        </w:rPr>
        <w:t>：V1.0 (ESG碳信用原生公链版)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|（注：文档部分内容可能由 AI 生成)</w:t>
      </w:r>
    </w:p>
    <w:sectPr>
      <w:footerReference w:type="default" r:id="rId3"/>
      <w:headerReference w:type="default" r:id="rId5"/>
      <w:pgSz w:orient="portrait" w:h="16840" w:w="11905"/>
    </w:sectPr>
  </w:body>
</w:document>
</file>

<file path=word/footer1.xml><?xml version="1.0" encoding="utf-8"?>
<w:ftr xmlns:w="http://schemas.openxmlformats.org/wordprocessingml/2006/main">
  <w:p/>
</w:ftr>
</file>

<file path=word/header1.xml><?xml version="1.0" encoding="utf-8"?>
<w:hdr xmlns:w="http://schemas.openxmlformats.org/wordprocessingml/2006/main">
  <w:p/>
</w:hdr>
</file>

<file path=word/numbering.xml><?xml version="1.0" encoding="utf-8"?>
<w:numbering xmlns:w="http://schemas.openxmlformats.org/wordprocessingml/2006/main">
  <w:abstractNum w:abstractNumId="757934">
    <w:lvl>
      <w:start w:val="1"/>
      <w:numFmt w:val="decimal"/>
      <w:suff w:val="tab"/>
      <w:lvlText w:val="%1."/>
      <w:rPr>
        <w:color w:val="3370ff"/>
      </w:rPr>
    </w:lvl>
  </w:abstractNum>
  <w:abstractNum w:abstractNumId="757935">
    <w:lvl>
      <w:start w:val="2"/>
      <w:numFmt w:val="decimal"/>
      <w:suff w:val="tab"/>
      <w:lvlText w:val="%1."/>
      <w:rPr>
        <w:color w:val="3370ff"/>
      </w:rPr>
    </w:lvl>
  </w:abstractNum>
  <w:abstractNum w:abstractNumId="757936">
    <w:lvl>
      <w:start w:val="3"/>
      <w:numFmt w:val="decimal"/>
      <w:suff w:val="tab"/>
      <w:lvlText w:val="%1."/>
      <w:rPr>
        <w:color w:val="3370ff"/>
      </w:rPr>
    </w:lvl>
  </w:abstractNum>
  <w:abstractNum w:abstractNumId="757937">
    <w:lvl>
      <w:start w:val="4"/>
      <w:numFmt w:val="decimal"/>
      <w:suff w:val="tab"/>
      <w:lvlText w:val="%1."/>
      <w:rPr>
        <w:color w:val="3370ff"/>
      </w:rPr>
    </w:lvl>
  </w:abstractNum>
  <w:abstractNum w:abstractNumId="757938">
    <w:lvl>
      <w:start w:val="1"/>
      <w:numFmt w:val="decimal"/>
      <w:suff w:val="tab"/>
      <w:lvlText w:val="%1."/>
      <w:rPr>
        <w:color w:val="3370ff"/>
      </w:rPr>
    </w:lvl>
  </w:abstractNum>
  <w:abstractNum w:abstractNumId="757939">
    <w:lvl>
      <w:start w:val="2"/>
      <w:numFmt w:val="decimal"/>
      <w:suff w:val="tab"/>
      <w:lvlText w:val="%1."/>
      <w:rPr>
        <w:color w:val="3370ff"/>
      </w:rPr>
    </w:lvl>
  </w:abstractNum>
  <w:abstractNum w:abstractNumId="757940">
    <w:lvl>
      <w:start w:val="3"/>
      <w:numFmt w:val="decimal"/>
      <w:suff w:val="tab"/>
      <w:lvlText w:val="%1."/>
      <w:rPr>
        <w:color w:val="3370ff"/>
      </w:rPr>
    </w:lvl>
  </w:abstractNum>
  <w:abstractNum w:abstractNumId="757941">
    <w:lvl>
      <w:start w:val="4"/>
      <w:numFmt w:val="decimal"/>
      <w:suff w:val="tab"/>
      <w:lvlText w:val="%1."/>
      <w:rPr>
        <w:color w:val="3370ff"/>
      </w:rPr>
    </w:lvl>
  </w:abstractNum>
  <w:abstractNum w:abstractNumId="757942">
    <w:lvl>
      <w:numFmt w:val="bullet"/>
      <w:suff w:val="tab"/>
      <w:lvlText w:val="•"/>
      <w:rPr>
        <w:color w:val="3370ff"/>
      </w:rPr>
    </w:lvl>
  </w:abstractNum>
  <w:abstractNum w:abstractNumId="757943">
    <w:lvl>
      <w:numFmt w:val="bullet"/>
      <w:suff w:val="tab"/>
      <w:lvlText w:val="•"/>
      <w:rPr>
        <w:color w:val="3370ff"/>
      </w:rPr>
    </w:lvl>
  </w:abstractNum>
  <w:abstractNum w:abstractNumId="757944">
    <w:lvl>
      <w:numFmt w:val="bullet"/>
      <w:suff w:val="tab"/>
      <w:lvlText w:val="•"/>
      <w:rPr>
        <w:color w:val="3370ff"/>
      </w:rPr>
    </w:lvl>
  </w:abstractNum>
  <w:abstractNum w:abstractNumId="757945">
    <w:lvl>
      <w:numFmt w:val="bullet"/>
      <w:suff w:val="tab"/>
      <w:lvlText w:val="•"/>
      <w:rPr>
        <w:color w:val="3370ff"/>
      </w:rPr>
    </w:lvl>
  </w:abstractNum>
  <w:abstractNum w:abstractNumId="757946">
    <w:lvl>
      <w:start w:val="1"/>
      <w:numFmt w:val="decimal"/>
      <w:suff w:val="tab"/>
      <w:lvlText w:val="%1."/>
      <w:rPr>
        <w:color w:val="3370ff"/>
      </w:rPr>
    </w:lvl>
  </w:abstractNum>
  <w:abstractNum w:abstractNumId="757947">
    <w:lvl>
      <w:start w:val="2"/>
      <w:numFmt w:val="decimal"/>
      <w:suff w:val="tab"/>
      <w:lvlText w:val="%1."/>
      <w:rPr>
        <w:color w:val="3370ff"/>
      </w:rPr>
    </w:lvl>
  </w:abstractNum>
  <w:abstractNum w:abstractNumId="757948">
    <w:lvl>
      <w:numFmt w:val="bullet"/>
      <w:suff w:val="tab"/>
      <w:lvlText w:val="￮"/>
      <w:rPr>
        <w:color w:val="3370ff"/>
      </w:rPr>
    </w:lvl>
  </w:abstractNum>
  <w:abstractNum w:abstractNumId="757949">
    <w:lvl>
      <w:start w:val="3"/>
      <w:numFmt w:val="decimal"/>
      <w:suff w:val="tab"/>
      <w:lvlText w:val="%1."/>
      <w:rPr>
        <w:color w:val="3370ff"/>
      </w:rPr>
    </w:lvl>
  </w:abstractNum>
  <w:abstractNum w:abstractNumId="757950">
    <w:lvl>
      <w:start w:val="4"/>
      <w:numFmt w:val="decimal"/>
      <w:suff w:val="tab"/>
      <w:lvlText w:val="%1."/>
      <w:rPr>
        <w:color w:val="3370ff"/>
      </w:rPr>
    </w:lvl>
  </w:abstractNum>
  <w:abstractNum w:abstractNumId="757951">
    <w:lvl>
      <w:numFmt w:val="bullet"/>
      <w:suff w:val="tab"/>
      <w:lvlText w:val="￮"/>
      <w:rPr>
        <w:color w:val="3370ff"/>
      </w:rPr>
    </w:lvl>
  </w:abstractNum>
  <w:abstractNum w:abstractNumId="757952">
    <w:lvl>
      <w:numFmt w:val="bullet"/>
      <w:suff w:val="tab"/>
      <w:lvlText w:val="￮"/>
      <w:rPr>
        <w:color w:val="3370ff"/>
      </w:rPr>
    </w:lvl>
  </w:abstractNum>
  <w:abstractNum w:abstractNumId="757953">
    <w:lvl>
      <w:start w:val="5"/>
      <w:numFmt w:val="decimal"/>
      <w:suff w:val="tab"/>
      <w:lvlText w:val="%1."/>
      <w:rPr>
        <w:color w:val="3370ff"/>
      </w:rPr>
    </w:lvl>
  </w:abstractNum>
  <w:abstractNum w:abstractNumId="757954">
    <w:lvl>
      <w:numFmt w:val="bullet"/>
      <w:suff w:val="tab"/>
      <w:lvlText w:val="￮"/>
      <w:rPr>
        <w:color w:val="3370ff"/>
      </w:rPr>
    </w:lvl>
  </w:abstractNum>
  <w:abstractNum w:abstractNumId="757955">
    <w:lvl>
      <w:start w:val="1"/>
      <w:numFmt w:val="decimal"/>
      <w:suff w:val="tab"/>
      <w:lvlText w:val="%1."/>
      <w:rPr>
        <w:color w:val="3370ff"/>
      </w:rPr>
    </w:lvl>
  </w:abstractNum>
  <w:abstractNum w:abstractNumId="757956">
    <w:lvl>
      <w:start w:val="2"/>
      <w:numFmt w:val="decimal"/>
      <w:suff w:val="tab"/>
      <w:lvlText w:val="%1."/>
      <w:rPr>
        <w:color w:val="3370ff"/>
      </w:rPr>
    </w:lvl>
  </w:abstractNum>
  <w:abstractNum w:abstractNumId="757957">
    <w:lvl>
      <w:start w:val="3"/>
      <w:numFmt w:val="decimal"/>
      <w:suff w:val="tab"/>
      <w:lvlText w:val="%1."/>
      <w:rPr>
        <w:color w:val="3370ff"/>
      </w:rPr>
    </w:lvl>
  </w:abstractNum>
  <w:abstractNum w:abstractNumId="757958">
    <w:lvl>
      <w:start w:val="4"/>
      <w:numFmt w:val="decimal"/>
      <w:suff w:val="tab"/>
      <w:lvlText w:val="%1."/>
      <w:rPr>
        <w:color w:val="3370ff"/>
      </w:rPr>
    </w:lvl>
  </w:abstractNum>
  <w:abstractNum w:abstractNumId="757959">
    <w:lvl>
      <w:numFmt w:val="bullet"/>
      <w:suff w:val="tab"/>
      <w:lvlText w:val="•"/>
      <w:rPr>
        <w:color w:val="3370ff"/>
      </w:rPr>
    </w:lvl>
  </w:abstractNum>
  <w:abstractNum w:abstractNumId="757960">
    <w:lvl>
      <w:numFmt w:val="bullet"/>
      <w:suff w:val="tab"/>
      <w:lvlText w:val="•"/>
      <w:rPr>
        <w:color w:val="3370ff"/>
      </w:rPr>
    </w:lvl>
  </w:abstractNum>
  <w:abstractNum w:abstractNumId="757961">
    <w:lvl>
      <w:numFmt w:val="bullet"/>
      <w:suff w:val="tab"/>
      <w:lvlText w:val="•"/>
      <w:rPr>
        <w:color w:val="3370ff"/>
      </w:rPr>
    </w:lvl>
  </w:abstractNum>
  <w:num w:numId="1">
    <w:abstractNumId w:val="757934"/>
  </w:num>
  <w:num w:numId="2">
    <w:abstractNumId w:val="757935"/>
  </w:num>
  <w:num w:numId="3">
    <w:abstractNumId w:val="757936"/>
  </w:num>
  <w:num w:numId="4">
    <w:abstractNumId w:val="757937"/>
  </w:num>
  <w:num w:numId="5">
    <w:abstractNumId w:val="757938"/>
  </w:num>
  <w:num w:numId="6">
    <w:abstractNumId w:val="757939"/>
  </w:num>
  <w:num w:numId="7">
    <w:abstractNumId w:val="757940"/>
  </w:num>
  <w:num w:numId="8">
    <w:abstractNumId w:val="757941"/>
  </w:num>
  <w:num w:numId="9">
    <w:abstractNumId w:val="757942"/>
  </w:num>
  <w:num w:numId="10">
    <w:abstractNumId w:val="757943"/>
  </w:num>
  <w:num w:numId="11">
    <w:abstractNumId w:val="757944"/>
  </w:num>
  <w:num w:numId="12">
    <w:abstractNumId w:val="757945"/>
  </w:num>
  <w:num w:numId="13">
    <w:abstractNumId w:val="757946"/>
  </w:num>
  <w:num w:numId="14">
    <w:abstractNumId w:val="757947"/>
  </w:num>
  <w:num w:numId="15">
    <w:abstractNumId w:val="757948"/>
  </w:num>
  <w:num w:numId="16">
    <w:abstractNumId w:val="757949"/>
  </w:num>
  <w:num w:numId="17">
    <w:abstractNumId w:val="757950"/>
  </w:num>
  <w:num w:numId="18">
    <w:abstractNumId w:val="757951"/>
  </w:num>
  <w:num w:numId="19">
    <w:abstractNumId w:val="757952"/>
  </w:num>
  <w:num w:numId="20">
    <w:abstractNumId w:val="757953"/>
  </w:num>
  <w:num w:numId="21">
    <w:abstractNumId w:val="757954"/>
  </w:num>
  <w:num w:numId="22">
    <w:abstractNumId w:val="757955"/>
  </w:num>
  <w:num w:numId="23">
    <w:abstractNumId w:val="757956"/>
  </w:num>
  <w:num w:numId="24">
    <w:abstractNumId w:val="757957"/>
  </w:num>
  <w:num w:numId="25">
    <w:abstractNumId w:val="757958"/>
  </w:num>
  <w:num w:numId="26">
    <w:abstractNumId w:val="757959"/>
  </w:num>
  <w:num w:numId="27">
    <w:abstractNumId w:val="757960"/>
  </w:num>
  <w:num w:numId="28">
    <w:abstractNumId w:val="757961"/>
  </w:num>
</w:numbering>
</file>

<file path=word/settings.xml><?xml version="1.0" encoding="utf-8"?>
<w:settings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arget="settings.xml" Type="http://schemas.openxmlformats.org/officeDocument/2006/relationships/settings"/><Relationship Id="rId2" Target="styles.xml" Type="http://schemas.openxmlformats.org/officeDocument/2006/relationships/styles"/><Relationship Id="rId3" Target="footer1.xml" Type="http://schemas.openxmlformats.org/officeDocument/2006/relationships/footer"/><Relationship Id="rId4" Target="numbering.xml" Type="http://schemas.openxmlformats.org/officeDocument/2006/relationships/numbering"/><Relationship Id="rId5" Target="header1.xml" Type="http://schemas.openxmlformats.org/officeDocument/2006/relationships/header"/></Relationships>
</file>

<file path=docProps/app.xml><?xml version="1.0" encoding="utf-8"?>
<Properties xmlns="http://schemas.openxmlformats.org/officeDocument/2006/extended-properties">
  <Application>Apache POI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2026-02-02T15:09:41Z</dcterms:created>
  <dc:creator>Apache POI</dc:creator>
</cp:coreProperties>
</file>