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footer+xml" PartName="/word/footer1.xml"/>
  <Override ContentType="application/vnd.openxmlformats-officedocument.wordprocessingml.header+xml" PartName="/word/header1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</Types>
</file>

<file path=_rels/.rels><?xml version="1.0" encoding="UTF-8" standalone="yes"?><Relationships xmlns="http://schemas.openxmlformats.org/package/2006/relationships"><Relationship Id="rId1" Target="word/document.xml" Type="http://schemas.openxmlformats.org/officeDocument/2006/relationships/officeDocument"/><Relationship Id="rId2" Target="docProps/app.xml" Type="http://schemas.openxmlformats.org/officeDocument/2006/relationships/extended-properties"/><Relationship Id="rId3" Target="docProps/core.xml" Type="http://schemas.openxmlformats.org/package/2006/relationships/metadata/core-properties"/></Relationships>
</file>

<file path=word/document.xml><?xml version="1.0" encoding="utf-8"?>
<w:document xmlns:w="http://schemas.openxmlformats.org/wordprocessingml/2006/main" xmlns:r="http://schemas.openxmlformats.org/officeDocument/2006/relationships">
  <w:body>
    <w:p>
      <w:pPr>
        <w:spacing w:before="480" w:after="480" w:line="288" w:lineRule="auto"/>
        <w:ind w:left="0"/>
      </w:pPr>
      <w:r>
        <w:rPr>
          <w:rFonts w:eastAsia="等线" w:ascii="Arial" w:cs="Arial" w:hAnsi="Arial"/>
          <w:b w:val="true"/>
          <w:sz w:val="52"/>
        </w:rPr>
        <w:t>NAC多编译器工具链协同使用细则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版本：</w:t>
      </w:r>
      <w:r>
        <w:rPr>
          <w:rFonts w:eastAsia="等线" w:ascii="Arial" w:cs="Arial" w:hAnsi="Arial"/>
          <w:sz w:val="22"/>
        </w:rPr>
        <w:t>1.0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制定方：</w:t>
      </w:r>
      <w:r>
        <w:rPr>
          <w:rFonts w:eastAsia="等线" w:ascii="Arial" w:cs="Arial" w:hAnsi="Arial"/>
          <w:sz w:val="22"/>
        </w:rPr>
        <w:t>NAC核心协议工程组 · 编译器与静态分析小组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日期：</w:t>
      </w:r>
      <w:r>
        <w:rPr>
          <w:rFonts w:eastAsia="等线" w:ascii="Arial" w:cs="Arial" w:hAnsi="Arial"/>
          <w:sz w:val="22"/>
        </w:rPr>
        <w:t>2026年2月13日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关联文档：</w:t>
      </w:r>
      <w:r>
        <w:rPr>
          <w:rFonts w:eastAsia="等线" w:ascii="Arial" w:cs="Arial" w:hAnsi="Arial"/>
          <w:sz w:val="22"/>
        </w:rPr>
        <w:t>Charter编译器规范、CNNL编译器规范、Rust编译器插件规范、nac-primitives规范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------------------------------------------------------------------------</w:t>
      </w: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0" w:id="0"/>
      <w:r>
        <w:rPr>
          <w:rFonts w:eastAsia="等线" w:ascii="Arial" w:cs="Arial" w:hAnsi="Arial"/>
          <w:b w:val="true"/>
          <w:sz w:val="36"/>
        </w:rPr>
        <w:t>0. 执行摘要</w:t>
      </w:r>
      <w:bookmarkEnd w:id="0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NAC公链目前拥有三套独立、并存、各司其职的编译器/编译库生态：</w:t>
      </w:r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1245"/>
        <w:gridCol w:w="1560"/>
        <w:gridCol w:w="1560"/>
        <w:gridCol w:w="2070"/>
        <w:gridCol w:w="1860"/>
      </w:tblGrid>
      <w:tr>
        <w:tc>
          <w:tcPr>
            <w:tcW w:w="124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工具链</w:t>
            </w:r>
          </w:p>
        </w:tc>
        <w:tc>
          <w:tcPr>
            <w:tcW w:w="15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语言/输入</w:t>
            </w:r>
          </w:p>
        </w:tc>
        <w:tc>
          <w:tcPr>
            <w:tcW w:w="15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输出目标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核心用途</w:t>
            </w:r>
          </w:p>
        </w:tc>
        <w:tc>
          <w:tcPr>
            <w:tcW w:w="18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维护团队</w:t>
            </w:r>
          </w:p>
        </w:tc>
      </w:tr>
      <w:tr>
        <w:tc>
          <w:tcPr>
            <w:tcW w:w="124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Charter</w:t>
            </w:r>
          </w:p>
        </w:tc>
        <w:tc>
          <w:tcPr>
            <w:tcW w:w="15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.charter</w:t>
            </w:r>
          </w:p>
        </w:tc>
        <w:tc>
          <w:tcPr>
            <w:tcW w:w="15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NVM通用指令集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智能合约（RWA资产、DeFi协议）</w:t>
            </w:r>
          </w:p>
        </w:tc>
        <w:tc>
          <w:tcPr>
            <w:tcW w:w="18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Charter语言工作组</w:t>
            </w:r>
          </w:p>
        </w:tc>
      </w:tr>
      <w:tr>
        <w:tc>
          <w:tcPr>
            <w:tcW w:w="124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CNNL</w:t>
            </w:r>
          </w:p>
        </w:tc>
        <w:tc>
          <w:tcPr>
            <w:tcW w:w="15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.cnnl</w:t>
            </w:r>
          </w:p>
        </w:tc>
        <w:tc>
          <w:tcPr>
            <w:tcW w:w="15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NVM宪法指令集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数字宪法条款（宪法收据验证逻辑）</w:t>
            </w:r>
          </w:p>
        </w:tc>
        <w:tc>
          <w:tcPr>
            <w:tcW w:w="18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立法技术委员会</w:t>
            </w:r>
          </w:p>
        </w:tc>
      </w:tr>
      <w:tr>
        <w:tc>
          <w:tcPr>
            <w:tcW w:w="124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Rust</w:t>
            </w:r>
          </w:p>
        </w:tc>
        <w:tc>
          <w:tcPr>
            <w:tcW w:w="15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.rs</w:t>
            </w:r>
          </w:p>
        </w:tc>
        <w:tc>
          <w:tcPr>
            <w:tcW w:w="15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原生机器码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节点软件（共识、网络、虚拟机）、工具链</w:t>
            </w:r>
          </w:p>
        </w:tc>
        <w:tc>
          <w:tcPr>
            <w:tcW w:w="18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核心协议工程组</w:t>
            </w:r>
          </w:p>
        </w:tc>
      </w:tr>
    </w:tbl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三者互不替代、互不覆盖，但存在明确的数据依赖与构建顺序约束。本细则旨在：</w:t>
      </w:r>
    </w:p>
    <w:p>
      <w:pPr>
        <w:numPr>
          <w:numId w:val="1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明确定义三套工具链的职责边界，杜绝功能重叠。</w:t>
      </w:r>
    </w:p>
    <w:p>
      <w:pPr>
        <w:numPr>
          <w:numId w:val="2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规范编译顺序与依赖关系，确保宪法→合约→节点的一致性。</w:t>
      </w:r>
    </w:p>
    <w:p>
      <w:pPr>
        <w:numPr>
          <w:numId w:val="3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建立文件组织、版本同步、CI/CD集成的统一标准。</w:t>
      </w:r>
    </w:p>
    <w:p>
      <w:pPr>
        <w:numPr>
          <w:numId w:val="4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划定维护责任矩阵，避免治理真空。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------------------------------------------------------------------------</w:t>
      </w: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1" w:id="1"/>
      <w:r>
        <w:rPr>
          <w:rFonts w:eastAsia="等线" w:ascii="Arial" w:cs="Arial" w:hAnsi="Arial"/>
          <w:b w:val="true"/>
          <w:sz w:val="36"/>
        </w:rPr>
        <w:t>1. 工具链定位与职责边界</w:t>
      </w:r>
      <w:bookmarkEnd w:id="1"/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2" w:id="2"/>
      <w:r>
        <w:rPr>
          <w:rFonts w:eastAsia="等线" w:ascii="Arial" w:cs="Arial" w:hAnsi="Arial"/>
          <w:b w:val="true"/>
          <w:sz w:val="32"/>
        </w:rPr>
        <w:t>1.1 Charter：业务合约编译器</w:t>
      </w:r>
      <w:bookmarkEnd w:id="2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输入：</w:t>
      </w:r>
      <w:r>
        <w:rPr>
          <w:rFonts w:eastAsia="等线" w:ascii="Arial" w:cs="Arial" w:hAnsi="Arial"/>
          <w:sz w:val="22"/>
        </w:rPr>
        <w:t>Charter语言源代码（.charter）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输出：</w:t>
      </w:r>
      <w:r>
        <w:rPr>
          <w:rFonts w:eastAsia="等线" w:ascii="Arial" w:cs="Arial" w:hAnsi="Arial"/>
          <w:sz w:val="22"/>
        </w:rPr>
        <w:t>NVM字节码（.nvm） + 合约ABI（.json）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依赖：</w:t>
      </w:r>
      <w:r>
        <w:rPr>
          <w:rFonts w:eastAsia="等线" w:ascii="Arial" w:cs="Arial" w:hAnsi="Arial"/>
          <w:sz w:val="22"/>
        </w:rPr>
        <w:t>无（不依赖CNNL或Rust输出）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调用时机：</w:t>
      </w:r>
      <w:r>
        <w:rPr>
          <w:rFonts w:eastAsia="等线" w:ascii="Arial" w:cs="Arial" w:hAnsi="Arial"/>
          <w:sz w:val="22"/>
        </w:rPr>
        <w:t>合约开发阶段、链上部署前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运行环境：</w:t>
      </w:r>
      <w:r>
        <w:rPr>
          <w:rFonts w:eastAsia="等线" w:ascii="Arial" w:cs="Arial" w:hAnsi="Arial"/>
          <w:sz w:val="22"/>
        </w:rPr>
        <w:t>开发者本地、CI合约测试流水线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禁止事项：</w:t>
      </w:r>
    </w:p>
    <w:p>
      <w:pPr>
        <w:numPr>
          <w:numId w:val="5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❌ 生成宪法收据验证逻辑</w:t>
      </w:r>
    </w:p>
    <w:p>
      <w:pPr>
        <w:numPr>
          <w:numId w:val="6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❌ 修改节点共识参数</w:t>
      </w:r>
    </w:p>
    <w:p>
      <w:pPr>
        <w:numPr>
          <w:numId w:val="7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❌ 输出原生机器码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3" w:id="3"/>
      <w:r>
        <w:rPr>
          <w:rFonts w:eastAsia="等线" w:ascii="Arial" w:cs="Arial" w:hAnsi="Arial"/>
          <w:b w:val="true"/>
          <w:sz w:val="32"/>
        </w:rPr>
        <w:t>1.2 CNNL：宪法条款编译器</w:t>
      </w:r>
      <w:bookmarkEnd w:id="3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输入：</w:t>
      </w:r>
      <w:r>
        <w:rPr>
          <w:rFonts w:eastAsia="等线" w:ascii="Arial" w:cs="Arial" w:hAnsi="Arial"/>
          <w:sz w:val="22"/>
        </w:rPr>
        <w:t>CNNL语言源代码（.cnnl）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输出：</w:t>
      </w:r>
    </w:p>
    <w:p>
      <w:pPr>
        <w:numPr>
          <w:numId w:val="8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NVM宪法指令字节码（用于CEE执行）</w:t>
      </w:r>
    </w:p>
    <w:p>
      <w:pPr>
        <w:numPr>
          <w:numId w:val="9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宪法状态文件（constitutional_state.json + constitutional_state.rs）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依赖：</w:t>
      </w:r>
      <w:r>
        <w:rPr>
          <w:rFonts w:eastAsia="等线" w:ascii="Arial" w:cs="Arial" w:hAnsi="Arial"/>
          <w:sz w:val="22"/>
        </w:rPr>
        <w:t>无（独立立法工具）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调用时机：</w:t>
      </w:r>
      <w:r>
        <w:rPr>
          <w:rFonts w:eastAsia="等线" w:ascii="Arial" w:cs="Arial" w:hAnsi="Arial"/>
          <w:sz w:val="22"/>
        </w:rPr>
        <w:t>宪法修正案通过后、主网部署前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运行环境：</w:t>
      </w:r>
      <w:r>
        <w:rPr>
          <w:rFonts w:eastAsia="等线" w:ascii="Arial" w:cs="Arial" w:hAnsi="Arial"/>
          <w:sz w:val="22"/>
        </w:rPr>
        <w:t>宪法法院安全沙箱、CI立法验证流水线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禁止事项：</w:t>
      </w:r>
    </w:p>
    <w:p>
      <w:pPr>
        <w:numPr>
          <w:numId w:val="10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❌ 生成业务合约字节码</w:t>
      </w:r>
    </w:p>
    <w:p>
      <w:pPr>
        <w:numPr>
          <w:numId w:val="11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❌ 依赖Charter合约状态</w:t>
      </w:r>
    </w:p>
    <w:p>
      <w:pPr>
        <w:numPr>
          <w:numId w:val="12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❌ 直接修改Rust代码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4" w:id="4"/>
      <w:r>
        <w:rPr>
          <w:rFonts w:eastAsia="等线" w:ascii="Arial" w:cs="Arial" w:hAnsi="Arial"/>
          <w:b w:val="true"/>
          <w:sz w:val="32"/>
        </w:rPr>
        <w:t>1.3 Rust：系统实现编译器</w:t>
      </w:r>
      <w:bookmarkEnd w:id="4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输入：</w:t>
      </w:r>
      <w:r>
        <w:rPr>
          <w:rFonts w:eastAsia="等线" w:ascii="Arial" w:cs="Arial" w:hAnsi="Arial"/>
          <w:sz w:val="22"/>
        </w:rPr>
        <w:t>Rust源代码（.rs）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输出：</w:t>
      </w:r>
      <w:r>
        <w:rPr>
          <w:rFonts w:eastAsia="等线" w:ascii="Arial" w:cs="Arial" w:hAnsi="Arial"/>
          <w:sz w:val="22"/>
        </w:rPr>
        <w:t>原生可执行文件/库（节点、CLI工具）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依赖：</w:t>
      </w:r>
    </w:p>
    <w:p>
      <w:pPr>
        <w:numPr>
          <w:numId w:val="13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必须：CNNL生成的constitutional_state.rs（宪法参数常量）</w:t>
      </w:r>
    </w:p>
    <w:p>
      <w:pPr>
        <w:numPr>
          <w:numId w:val="14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可选：Charter合约ABI（用于Rust测试框架调用合约）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调用时机：</w:t>
      </w:r>
      <w:r>
        <w:rPr>
          <w:rFonts w:eastAsia="等线" w:ascii="Arial" w:cs="Arial" w:hAnsi="Arial"/>
          <w:sz w:val="22"/>
        </w:rPr>
        <w:t>节点开发、持续集成、生产构建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运行环境：</w:t>
      </w:r>
      <w:r>
        <w:rPr>
          <w:rFonts w:eastAsia="等线" w:ascii="Arial" w:cs="Arial" w:hAnsi="Arial"/>
          <w:sz w:val="22"/>
        </w:rPr>
        <w:t>开发者本地、CI、生产服务器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禁止事项：</w:t>
      </w:r>
    </w:p>
    <w:p>
      <w:pPr>
        <w:numPr>
          <w:numId w:val="15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❌ 解析Charter/CNNL源代码</w:t>
      </w:r>
    </w:p>
    <w:p>
      <w:pPr>
        <w:numPr>
          <w:numId w:val="16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❌ 在Rust中重新实现宪法逻辑（必须通过CNNL生成）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------------------------------------------------------------------------</w:t>
      </w: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5" w:id="5"/>
      <w:r>
        <w:rPr>
          <w:rFonts w:eastAsia="等线" w:ascii="Arial" w:cs="Arial" w:hAnsi="Arial"/>
          <w:b w:val="true"/>
          <w:sz w:val="36"/>
        </w:rPr>
        <w:t>2. 构建顺序与依赖契约</w:t>
      </w:r>
      <w:bookmarkEnd w:id="5"/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6" w:id="6"/>
      <w:r>
        <w:rPr>
          <w:rFonts w:eastAsia="等线" w:ascii="Arial" w:cs="Arial" w:hAnsi="Arial"/>
          <w:b w:val="true"/>
          <w:sz w:val="32"/>
        </w:rPr>
        <w:t>2.1 宪法优先原则</w:t>
      </w:r>
      <w:bookmarkEnd w:id="6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任何对宪法参数、条款ID、核心类型的修改，必须首先通过CNNL编译器生成宪法状态文件，才能被Rust代码使用。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```text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[立法流程]                               [工程实现流程]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↓                                           ↓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CNNL条款编写 → CNNL编译 → constitutional_state.json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                            ↓ (自动转换)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                    constitutional_state.rs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                            ↓ (git提交)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                    Rust代码库引入该文件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                            ↓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                    cargo build (使用宪法常量)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```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强制规则：</w:t>
      </w:r>
    </w:p>
    <w:p>
      <w:pPr>
        <w:numPr>
          <w:numId w:val="17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constitutional_state.rs 必须由CNNL编译器生成，禁止手工编写或修改。</w:t>
      </w:r>
    </w:p>
    <w:p>
      <w:pPr>
        <w:numPr>
          <w:numId w:val="18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Rust代码库必须将此文件置于crates/constitutional-state/src/目录，并通过include!或直接模块引用。</w:t>
      </w:r>
    </w:p>
    <w:p>
      <w:pPr>
        <w:numPr>
          <w:numId w:val="19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任何涉及宪法参数（如CBPP_DT_MIN）的PR，必须同时附带由CNNL生成的宪法状态文件变更，否则CI自动拒绝。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7" w:id="7"/>
      <w:r>
        <w:rPr>
          <w:rFonts w:eastAsia="等线" w:ascii="Arial" w:cs="Arial" w:hAnsi="Arial"/>
          <w:b w:val="true"/>
          <w:sz w:val="32"/>
        </w:rPr>
        <w:t>2.2 合约与节点的松耦合</w:t>
      </w:r>
      <w:bookmarkEnd w:id="7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Charter合约与Rust节点软件无直接编译期依赖，但存在运行时交互：</w:t>
      </w:r>
    </w:p>
    <w:p>
      <w:pPr>
        <w:numPr>
          <w:numId w:val="20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节点通过NVM执行Charter合约字节码。</w:t>
      </w:r>
    </w:p>
    <w:p>
      <w:pPr>
        <w:numPr>
          <w:numId w:val="21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节点测试框架可能需要Charter合约ABI进行集成测试。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规范：</w:t>
      </w:r>
    </w:p>
    <w:p>
      <w:pPr>
        <w:numPr>
          <w:numId w:val="22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Charter合约ABI（.json）不得提交到Rust代码仓库。</w:t>
      </w:r>
    </w:p>
    <w:p>
      <w:pPr>
        <w:numPr>
          <w:numId w:val="23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Rust集成测试必须通过build.rs在测试编译时动态调用Charter编译器生成ABI，或从合约仓库的CI产物中下载。</w:t>
      </w:r>
    </w:p>
    <w:p>
      <w:pPr>
        <w:numPr>
          <w:numId w:val="24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禁止在Rust代码中硬编码合约地址、方法哈希等。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8" w:id="8"/>
      <w:r>
        <w:rPr>
          <w:rFonts w:eastAsia="等线" w:ascii="Arial" w:cs="Arial" w:hAnsi="Arial"/>
          <w:b w:val="true"/>
          <w:sz w:val="32"/>
        </w:rPr>
        <w:t>2.3 编译顺序自动化</w:t>
      </w:r>
      <w:bookmarkEnd w:id="8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在NAC主仓库的根目录下，应提供统一的构建调度脚本（build_all.sh或cargo make任务），按以下顺序执行：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```bash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#!/bin/bash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# 步骤1: 编译宪法条款（如果宪法源文件变更）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if git diff --name-only HEAD^ | grep -E "\.cnnl$"; then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cnnl build --manifest-path constitution/CNNL.toml --output-rs crates/constitutional-state/src/constitutional_state.rs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fi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# 步骤2: 编译Rust节点（自动依赖宪法状态文件）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cargo build --release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# 步骤3: （可选）编译Charter测试合约用于集成测试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charter build --manifest-path tests/contracts/Charter.toml --emit-abi tests/abis/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```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CI强制：</w:t>
      </w:r>
      <w:r>
        <w:rPr>
          <w:rFonts w:eastAsia="等线" w:ascii="Arial" w:cs="Arial" w:hAnsi="Arial"/>
          <w:sz w:val="22"/>
        </w:rPr>
        <w:t>主分支合并前必须完整执行此流程，任何阶段失败则阻断合并。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------------------------------------------------------------------------</w:t>
      </w: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9" w:id="9"/>
      <w:r>
        <w:rPr>
          <w:rFonts w:eastAsia="等线" w:ascii="Arial" w:cs="Arial" w:hAnsi="Arial"/>
          <w:b w:val="true"/>
          <w:sz w:val="36"/>
        </w:rPr>
        <w:t>3. 文件组织与命名规范</w:t>
      </w:r>
      <w:bookmarkEnd w:id="9"/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10" w:id="10"/>
      <w:r>
        <w:rPr>
          <w:rFonts w:eastAsia="等线" w:ascii="Arial" w:cs="Arial" w:hAnsi="Arial"/>
          <w:b w:val="true"/>
          <w:sz w:val="32"/>
        </w:rPr>
        <w:t>3.1 仓库结构</w:t>
      </w:r>
      <w:bookmarkEnd w:id="10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NAC公链主仓库（nac-chain）应采用单体库（monorepo）结构，统一管理三套工具链的源文件与产物：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```text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nac-chain/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├── Cargo.toml                 # Rust 工作空间定义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├── constitution/              # 宪法条款源文件（CNNL）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│   ├── CNNL.toml            # CNNL 编译器配置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│   ├── clauses/             # 各宪法条款 .cnnl 文件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│   └── parameters/          # 宪法参数定义（可选）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├── crates/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│   ├── constitutional-state/ # 自动生成的宪法状态Rust crate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│   │   ├── Cargo.toml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│   │   └── src/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│   │       └── lib.rs      # 由CNNL编译器生成，禁止手动编辑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│   ├── nac-primitives/      # 核心类型（手动维护）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│   ├── cbpp/               # 共识层实现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│   ├── csnp/               # 网络层实现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│   ├── xtzh/               # 稳定币系统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│   └── ...                 # 其他Rust crate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├── contracts/               # Charter 智能合约（可选）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│   ├── Charter.toml       # Charter 编译器配置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│   ├── acc20/             # ACC-20标准实现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│   ├── xtzh/              # XTZH合约（仅接口）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│   └── tests/             # 合约测试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├── tests/                  # 集成测试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│   └── abis/              # 合约ABI产物（自动生成，不提交）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└── scripts/               # 构建/部署脚本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└── build_all.sh       # 统一构建入口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```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11" w:id="11"/>
      <w:r>
        <w:rPr>
          <w:rFonts w:eastAsia="等线" w:ascii="Arial" w:cs="Arial" w:hAnsi="Arial"/>
          <w:b w:val="true"/>
          <w:sz w:val="32"/>
        </w:rPr>
        <w:t>3.2 文件命名规范</w:t>
      </w:r>
      <w:bookmarkEnd w:id="11"/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2070"/>
        <w:gridCol w:w="2760"/>
        <w:gridCol w:w="2070"/>
        <w:gridCol w:w="1380"/>
      </w:tblGrid>
      <w:tr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文件类型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命名规则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示例</w:t>
            </w:r>
          </w:p>
        </w:tc>
        <w:tc>
          <w:tcPr>
            <w:tcW w:w="138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强制检查</w:t>
            </w:r>
          </w:p>
        </w:tc>
      </w:tr>
      <w:tr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CNNL条款源文件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[条款ID].cnnl（全大写蛇形）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XTZH_GOLD_COVERAGE.cnml</w:t>
            </w:r>
          </w:p>
        </w:tc>
        <w:tc>
          <w:tcPr>
            <w:tcW w:w="138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✅</w:t>
            </w:r>
          </w:p>
        </w:tc>
      </w:tr>
      <w:tr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CNNL编译器配置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CNNL.toml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-</w:t>
            </w:r>
          </w:p>
        </w:tc>
        <w:tc>
          <w:tcPr>
            <w:tcW w:w="138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✅</w:t>
            </w:r>
          </w:p>
        </w:tc>
      </w:tr>
      <w:tr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Charter合约源文件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[合约名].charter（帕斯卡）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RealEstateToken.charter</w:t>
            </w:r>
          </w:p>
        </w:tc>
        <w:tc>
          <w:tcPr>
            <w:tcW w:w="138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✅</w:t>
            </w:r>
          </w:p>
        </w:tc>
      </w:tr>
      <w:tr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Charter编译器配置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Charter.toml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-</w:t>
            </w:r>
          </w:p>
        </w:tc>
        <w:tc>
          <w:tcPr>
            <w:tcW w:w="138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✅</w:t>
            </w:r>
          </w:p>
        </w:tc>
      </w:tr>
      <w:tr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宪法状态Rust文件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lib.rs（置于constitutional-statecrate）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-</w:t>
            </w:r>
          </w:p>
        </w:tc>
        <w:tc>
          <w:tcPr>
            <w:tcW w:w="138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✅</w:t>
            </w:r>
          </w:p>
        </w:tc>
      </w:tr>
      <w:tr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合约ABI文件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[合约名].abi.json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XTZH.abi.json</w:t>
            </w:r>
          </w:p>
        </w:tc>
        <w:tc>
          <w:tcPr>
            <w:tcW w:w="138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✅（不提交）</w:t>
            </w:r>
          </w:p>
        </w:tc>
      </w:tr>
    </w:tbl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------------------------------------------------------------------------</w:t>
      </w: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12" w:id="12"/>
      <w:r>
        <w:rPr>
          <w:rFonts w:eastAsia="等线" w:ascii="Arial" w:cs="Arial" w:hAnsi="Arial"/>
          <w:b w:val="true"/>
          <w:sz w:val="36"/>
        </w:rPr>
        <w:t>4. 版本兼容性与升级策略</w:t>
      </w:r>
      <w:bookmarkEnd w:id="12"/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13" w:id="13"/>
      <w:r>
        <w:rPr>
          <w:rFonts w:eastAsia="等线" w:ascii="Arial" w:cs="Arial" w:hAnsi="Arial"/>
          <w:b w:val="true"/>
          <w:sz w:val="32"/>
        </w:rPr>
        <w:t>4.1 独立版本号</w:t>
      </w:r>
      <w:bookmarkEnd w:id="13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三套工具链拥有完全独立的版本号，遵循语义化版本：</w:t>
      </w:r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2250"/>
        <w:gridCol w:w="2250"/>
        <w:gridCol w:w="3750"/>
      </w:tblGrid>
      <w:tr>
        <w:tc>
          <w:tcPr>
            <w:tcW w:w="22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工具链</w:t>
            </w:r>
          </w:p>
        </w:tc>
        <w:tc>
          <w:tcPr>
            <w:tcW w:w="22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初始版本</w:t>
            </w:r>
          </w:p>
        </w:tc>
        <w:tc>
          <w:tcPr>
            <w:tcW w:w="37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版本绑定策略</w:t>
            </w:r>
          </w:p>
        </w:tc>
      </w:tr>
      <w:tr>
        <w:tc>
          <w:tcPr>
            <w:tcW w:w="22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Charter编译器</w:t>
            </w:r>
          </w:p>
        </w:tc>
        <w:tc>
          <w:tcPr>
            <w:tcW w:w="22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0.10.0</w:t>
            </w:r>
          </w:p>
        </w:tc>
        <w:tc>
          <w:tcPr>
            <w:tcW w:w="37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与Charter语言规范版本一致</w:t>
            </w:r>
          </w:p>
        </w:tc>
      </w:tr>
      <w:tr>
        <w:tc>
          <w:tcPr>
            <w:tcW w:w="22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CNNL编译器</w:t>
            </w:r>
          </w:p>
        </w:tc>
        <w:tc>
          <w:tcPr>
            <w:tcW w:w="22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1.0.0</w:t>
            </w:r>
          </w:p>
        </w:tc>
        <w:tc>
          <w:tcPr>
            <w:tcW w:w="37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与宪法附录版本一致</w:t>
            </w:r>
          </w:p>
        </w:tc>
      </w:tr>
      <w:tr>
        <w:tc>
          <w:tcPr>
            <w:tcW w:w="22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nac-primitives</w:t>
            </w:r>
          </w:p>
        </w:tc>
        <w:tc>
          <w:tcPr>
            <w:tcW w:w="22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0.1.0</w:t>
            </w:r>
          </w:p>
        </w:tc>
        <w:tc>
          <w:tcPr>
            <w:tcW w:w="37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与核心类型规范版本一致</w:t>
            </w:r>
          </w:p>
        </w:tc>
      </w:tr>
    </w:tbl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互不依赖：</w:t>
      </w:r>
      <w:r>
        <w:rPr>
          <w:rFonts w:eastAsia="等线" w:ascii="Arial" w:cs="Arial" w:hAnsi="Arial"/>
          <w:sz w:val="22"/>
        </w:rPr>
        <w:t>Charter v0.10.0 与 CNNL v1.0.0 无直接兼容性约束。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14" w:id="14"/>
      <w:r>
        <w:rPr>
          <w:rFonts w:eastAsia="等线" w:ascii="Arial" w:cs="Arial" w:hAnsi="Arial"/>
          <w:b w:val="true"/>
          <w:sz w:val="32"/>
        </w:rPr>
        <w:t>4.2 宪法状态文件的版本锁定</w:t>
      </w:r>
      <w:bookmarkEnd w:id="14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constitutional_state.rs 文件头部必须包含生成它的CNNL编译器版本及宪法根哈希：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```rust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// 文件: crates/constitutional-state/src/lib.rs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// 自动生成，请勿手动编辑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// 生成工具: CNNL v1.2.3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// 宪法根哈希: 0x7f3a8d9c2b1e5f6a...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// 时间戳: 2026-02-13T12:00:00Z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pub mod parameters { ... }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pub mod predicates { ... }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```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CI检查：</w:t>
      </w:r>
      <w:r>
        <w:rPr>
          <w:rFonts w:eastAsia="等线" w:ascii="Arial" w:cs="Arial" w:hAnsi="Arial"/>
          <w:sz w:val="22"/>
        </w:rPr>
        <w:t>若Rust代码引用了此文件，但当前CNNL编译器版本与文件头声明的版本不匹配，则触发警告（可配置为deny）。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15" w:id="15"/>
      <w:r>
        <w:rPr>
          <w:rFonts w:eastAsia="等线" w:ascii="Arial" w:cs="Arial" w:hAnsi="Arial"/>
          <w:b w:val="true"/>
          <w:sz w:val="32"/>
        </w:rPr>
        <w:t>4.3 向后兼容承诺</w:t>
      </w:r>
      <w:bookmarkEnd w:id="15"/>
    </w:p>
    <w:p>
      <w:pPr>
        <w:numPr>
          <w:numId w:val="25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CNNL编译器保证：生成的constitutional_state.rs对次版本（1.x）保持向前兼容，Rust代码可安全升级。</w:t>
      </w:r>
    </w:p>
    <w:p>
      <w:pPr>
        <w:numPr>
          <w:numId w:val="26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Charter编译器保证：生成的NVM字节码对所有次版本的NVM虚拟机向前兼容。</w:t>
      </w:r>
    </w:p>
    <w:p>
      <w:pPr>
        <w:numPr>
          <w:numId w:val="27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nac-primitives保证：地址布局、哈希算法等核心定义在主版本内不修改；主版本升级需宪法修正案。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------------------------------------------------------------------------</w:t>
      </w: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16" w:id="16"/>
      <w:r>
        <w:rPr>
          <w:rFonts w:eastAsia="等线" w:ascii="Arial" w:cs="Arial" w:hAnsi="Arial"/>
          <w:b w:val="true"/>
          <w:sz w:val="36"/>
        </w:rPr>
        <w:t>5. CI/CD集成规范</w:t>
      </w:r>
      <w:bookmarkEnd w:id="16"/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17" w:id="17"/>
      <w:r>
        <w:rPr>
          <w:rFonts w:eastAsia="等线" w:ascii="Arial" w:cs="Arial" w:hAnsi="Arial"/>
          <w:b w:val="true"/>
          <w:sz w:val="32"/>
        </w:rPr>
        <w:t>5.1 宪法变更触发全栈重建</w:t>
      </w:r>
      <w:bookmarkEnd w:id="17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在GitHub Actions中配置路径过滤器：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```yaml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name: Constitution Update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on: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push: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paths: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  - 'constitution/**/*.cnnl'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- 'constitution/CNNL.toml'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jobs: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build-constitution: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runs-on: ubuntu-latest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steps: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  - name: Checkout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  - name: Compile CNNL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    run: cnnl build --manifest-path constitution/CNNL.toml --output-rs crates/constitutional-state/src/lib.rs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  - name: Commit Constitutional State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    run: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      git config user.name "github-actions[bot]"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      git add crates/constitutional-state/src/lib.rs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      git commit -m "chore(constitution): auto-update constitutional state [skip ci]"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      git push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```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说明：</w:t>
      </w:r>
      <w:r>
        <w:rPr>
          <w:rFonts w:eastAsia="等线" w:ascii="Arial" w:cs="Arial" w:hAnsi="Arial"/>
          <w:sz w:val="22"/>
        </w:rPr>
        <w:t>宪法修改自动触发Rust依赖文件更新并提交，随后触发完整的Rust CI流水线，确保代码库始终与最新宪法一致。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18" w:id="18"/>
      <w:r>
        <w:rPr>
          <w:rFonts w:eastAsia="等线" w:ascii="Arial" w:cs="Arial" w:hAnsi="Arial"/>
          <w:b w:val="true"/>
          <w:sz w:val="32"/>
        </w:rPr>
        <w:t>5.2 合约测试独立流水线</w:t>
      </w:r>
      <w:bookmarkEnd w:id="18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Charter合约的单元测试不得依赖Rust节点运行，应在Charter虚拟机模拟器中执行。集成测试可可选地依赖Rust测试网容器。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CI策略：</w:t>
      </w:r>
    </w:p>
    <w:p>
      <w:pPr>
        <w:numPr>
          <w:numId w:val="28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PR中若仅修改contracts/目录，仅运行Charter测试套件，不触发完整的Rust构建（节省资源）。</w:t>
      </w:r>
    </w:p>
    <w:p>
      <w:pPr>
        <w:numPr>
          <w:numId w:val="29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若同时修改Rust代码和合约代码，运行全量测试。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19" w:id="19"/>
      <w:r>
        <w:rPr>
          <w:rFonts w:eastAsia="等线" w:ascii="Arial" w:cs="Arial" w:hAnsi="Arial"/>
          <w:b w:val="true"/>
          <w:sz w:val="32"/>
        </w:rPr>
        <w:t>5.3 工具链版本固化</w:t>
      </w:r>
      <w:bookmarkEnd w:id="19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所有CI流水线必须使用固定版本的工具链，通过actions/tool-cache或容器镜像锁定：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```yaml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- name: Install CNNL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run: |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wget https://github.com/nac-foundation/cnnl/releases/download/v1.2.3/cnnl-x86_64-unknown-linux-gnu.tar.gz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tar -xzf cnnl-*.tar.gz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sudo mv cnnl /usr/local/bin/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```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禁止</w:t>
      </w:r>
      <w:r>
        <w:rPr>
          <w:rFonts w:eastAsia="等线" w:ascii="Arial" w:cs="Arial" w:hAnsi="Arial"/>
          <w:sz w:val="22"/>
        </w:rPr>
        <w:t>使用latest或未指定版本的通配符。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------------------------------------------------------------------------</w:t>
      </w: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20" w:id="20"/>
      <w:r>
        <w:rPr>
          <w:rFonts w:eastAsia="等线" w:ascii="Arial" w:cs="Arial" w:hAnsi="Arial"/>
          <w:b w:val="true"/>
          <w:sz w:val="36"/>
        </w:rPr>
        <w:t>6. 维护责任矩阵</w:t>
      </w:r>
      <w:bookmarkEnd w:id="20"/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1905"/>
        <w:gridCol w:w="2550"/>
        <w:gridCol w:w="1905"/>
        <w:gridCol w:w="1905"/>
      </w:tblGrid>
      <w:tr>
        <w:tc>
          <w:tcPr>
            <w:tcW w:w="190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组件</w:t>
            </w:r>
          </w:p>
        </w:tc>
        <w:tc>
          <w:tcPr>
            <w:tcW w:w="25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技术负责人（团队）</w:t>
            </w:r>
          </w:p>
        </w:tc>
        <w:tc>
          <w:tcPr>
            <w:tcW w:w="190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宪法监督方</w:t>
            </w:r>
          </w:p>
        </w:tc>
        <w:tc>
          <w:tcPr>
            <w:tcW w:w="190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发布审批</w:t>
            </w:r>
          </w:p>
        </w:tc>
      </w:tr>
      <w:tr>
        <w:tc>
          <w:tcPr>
            <w:tcW w:w="190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Charter编译器</w:t>
            </w:r>
          </w:p>
        </w:tc>
        <w:tc>
          <w:tcPr>
            <w:tcW w:w="25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Charter语言工作组</w:t>
            </w:r>
          </w:p>
        </w:tc>
        <w:tc>
          <w:tcPr>
            <w:tcW w:w="190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协议标准委员会</w:t>
            </w:r>
          </w:p>
        </w:tc>
        <w:tc>
          <w:tcPr>
            <w:tcW w:w="190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技术委员会</w:t>
            </w:r>
          </w:p>
        </w:tc>
      </w:tr>
      <w:tr>
        <w:tc>
          <w:tcPr>
            <w:tcW w:w="190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CNNL编译器</w:t>
            </w:r>
          </w:p>
        </w:tc>
        <w:tc>
          <w:tcPr>
            <w:tcW w:w="25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立法技术委员会</w:t>
            </w:r>
          </w:p>
        </w:tc>
        <w:tc>
          <w:tcPr>
            <w:tcW w:w="190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宪法法院</w:t>
            </w:r>
          </w:p>
        </w:tc>
        <w:tc>
          <w:tcPr>
            <w:tcW w:w="190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宪法法院</w:t>
            </w:r>
          </w:p>
        </w:tc>
      </w:tr>
      <w:tr>
        <w:tc>
          <w:tcPr>
            <w:tcW w:w="190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Rust节点</w:t>
            </w:r>
          </w:p>
        </w:tc>
        <w:tc>
          <w:tcPr>
            <w:tcW w:w="25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核心协议工程组</w:t>
            </w:r>
          </w:p>
        </w:tc>
        <w:tc>
          <w:tcPr>
            <w:tcW w:w="190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协议标准委员会</w:t>
            </w:r>
          </w:p>
        </w:tc>
        <w:tc>
          <w:tcPr>
            <w:tcW w:w="190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技术委员会</w:t>
            </w:r>
          </w:p>
        </w:tc>
      </w:tr>
      <w:tr>
        <w:tc>
          <w:tcPr>
            <w:tcW w:w="190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nac-primitives</w:t>
            </w:r>
          </w:p>
        </w:tc>
        <w:tc>
          <w:tcPr>
            <w:tcW w:w="25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核心协议工程组</w:t>
            </w:r>
          </w:p>
        </w:tc>
        <w:tc>
          <w:tcPr>
            <w:tcW w:w="190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宪法法院</w:t>
            </w:r>
          </w:p>
        </w:tc>
        <w:tc>
          <w:tcPr>
            <w:tcW w:w="190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宪法法院+技术委员会</w:t>
            </w:r>
          </w:p>
        </w:tc>
      </w:tr>
      <w:tr>
        <w:tc>
          <w:tcPr>
            <w:tcW w:w="190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宪法状态文件</w:t>
            </w:r>
          </w:p>
        </w:tc>
        <w:tc>
          <w:tcPr>
            <w:tcW w:w="25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立法技术委员会（生成）</w:t>
            </w:r>
          </w:p>
        </w:tc>
        <w:tc>
          <w:tcPr>
            <w:tcW w:w="190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宪法法院</w:t>
            </w:r>
          </w:p>
        </w:tc>
        <w:tc>
          <w:tcPr>
            <w:tcW w:w="190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—（自动生成）</w:t>
            </w:r>
          </w:p>
        </w:tc>
      </w:tr>
      <w:tr>
        <w:tc>
          <w:tcPr>
            <w:tcW w:w="190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统一构建脚本</w:t>
            </w:r>
          </w:p>
        </w:tc>
        <w:tc>
          <w:tcPr>
            <w:tcW w:w="25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核心协议工程组</w:t>
            </w:r>
          </w:p>
        </w:tc>
        <w:tc>
          <w:tcPr>
            <w:tcW w:w="190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协议标准委员会</w:t>
            </w:r>
          </w:p>
        </w:tc>
        <w:tc>
          <w:tcPr>
            <w:tcW w:w="190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技术委员会</w:t>
            </w:r>
          </w:p>
        </w:tc>
      </w:tr>
    </w:tbl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争议解决：</w:t>
      </w:r>
      <w:r>
        <w:rPr>
          <w:rFonts w:eastAsia="等线" w:ascii="Arial" w:cs="Arial" w:hAnsi="Arial"/>
          <w:sz w:val="22"/>
        </w:rPr>
        <w:t>当三套工具链产生接口不兼容、命名冲突或构建顺序歧义时，由协议标准委员会召集三方负责人联席会议，以简单多数裁决。若涉及宪法解释，移交宪法法院。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------------------------------------------------------------------------</w:t>
      </w: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21" w:id="21"/>
      <w:r>
        <w:rPr>
          <w:rFonts w:eastAsia="等线" w:ascii="Arial" w:cs="Arial" w:hAnsi="Arial"/>
          <w:b w:val="true"/>
          <w:sz w:val="36"/>
        </w:rPr>
        <w:t>7. 违反细则的处理</w:t>
      </w:r>
      <w:bookmarkEnd w:id="21"/>
    </w:p>
    <w:p>
      <w:pPr>
        <w:numPr>
          <w:numId w:val="30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一级违例（轻微，如CI配置不规范）：</w:t>
      </w:r>
      <w:r>
        <w:rPr>
          <w:rFonts w:eastAsia="等线" w:ascii="Arial" w:cs="Arial" w:hAnsi="Arial"/>
          <w:sz w:val="22"/>
        </w:rPr>
        <w:t>由维护团队发出警告，限期3天整改。</w:t>
      </w:r>
    </w:p>
    <w:p>
      <w:pPr>
        <w:numPr>
          <w:numId w:val="31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二级违例（中等，如Rust代码直接依赖CNNL生成的错误版本）：</w:t>
      </w:r>
      <w:r>
        <w:rPr>
          <w:rFonts w:eastAsia="等线" w:ascii="Arial" w:cs="Arial" w:hAnsi="Arial"/>
          <w:sz w:val="22"/>
        </w:rPr>
        <w:t>CI阻断合入，需PR作者修正。</w:t>
      </w:r>
    </w:p>
    <w:p>
      <w:pPr>
        <w:numPr>
          <w:numId w:val="32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三级违例（严重，如在Rust代码中硬编码宪法参数，绕过宪法状态文件）：</w:t>
      </w:r>
      <w:r>
        <w:rPr>
          <w:rFonts w:eastAsia="等线" w:ascii="Arial" w:cs="Arial" w:hAnsi="Arial"/>
          <w:sz w:val="22"/>
        </w:rPr>
        <w:t>直接拒绝合并，并提交宪法法院技术纪律委员会通报批评；重复违规者可暂停代码提交权限。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所有违例记录均在NAC开发者论坛公开，接受社区监督。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------------------------------------------------------------------------</w:t>
      </w: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22" w:id="22"/>
      <w:r>
        <w:rPr>
          <w:rFonts w:eastAsia="等线" w:ascii="Arial" w:cs="Arial" w:hAnsi="Arial"/>
          <w:b w:val="true"/>
          <w:sz w:val="36"/>
        </w:rPr>
        <w:t>8. 生效与过渡期</w:t>
      </w:r>
      <w:bookmarkEnd w:id="22"/>
    </w:p>
    <w:p>
      <w:pPr>
        <w:numPr>
          <w:numId w:val="33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本细则自2026年2月13日起生效。</w:t>
      </w:r>
    </w:p>
    <w:p>
      <w:pPr>
        <w:numPr>
          <w:numId w:val="34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现有代码库给予90天过渡期（至2026年5月15日），期间CI仅报告警告，不阻断合并。</w:t>
      </w:r>
    </w:p>
    <w:p>
      <w:pPr>
        <w:numPr>
          <w:numId w:val="35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2026年5月15日后，所有违反本细则的PR将自动被CI拒绝。</w:t>
      </w:r>
    </w:p>
    <w:p>
      <w:pPr>
        <w:numPr>
          <w:numId w:val="36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过渡期支持：核心协议工程组将组织3场专题技术分享会，协助各团队迁移至新规范。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------------------------------------------------------------------------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制定人：</w:t>
      </w:r>
      <w:r>
        <w:rPr>
          <w:rFonts w:eastAsia="等线" w:ascii="Arial" w:cs="Arial" w:hAnsi="Arial"/>
          <w:sz w:val="22"/>
        </w:rPr>
        <w:t>NAC核心协议工程组 · 编译器与静态分析小组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最后更新：</w:t>
      </w:r>
      <w:r>
        <w:rPr>
          <w:rFonts w:eastAsia="等线" w:ascii="Arial" w:cs="Arial" w:hAnsi="Arial"/>
          <w:sz w:val="22"/>
        </w:rPr>
        <w:t>2026年2月13日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文档状态：</w:t>
      </w:r>
      <w:r>
        <w:rPr>
          <w:rFonts w:eastAsia="等线" w:ascii="Arial" w:cs="Arial" w:hAnsi="Arial"/>
          <w:sz w:val="22"/>
        </w:rPr>
        <w:t>正式发布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|（注：文档部分内容可能由 AI 生成)</w:t>
      </w:r>
    </w:p>
    <w:sectPr>
      <w:footerReference w:type="default" r:id="rId3"/>
      <w:headerReference w:type="default" r:id="rId5"/>
      <w:pgSz w:orient="portrait" w:h="16840" w:w="11905"/>
    </w:sectPr>
  </w:body>
</w:document>
</file>

<file path=word/footer1.xml><?xml version="1.0" encoding="utf-8"?>
<w:ftr xmlns:w="http://schemas.openxmlformats.org/wordprocessingml/2006/main">
  <w:p/>
</w:ftr>
</file>

<file path=word/header1.xml><?xml version="1.0" encoding="utf-8"?>
<w:hdr xmlns:w="http://schemas.openxmlformats.org/wordprocessingml/2006/main">
  <w:p/>
</w:hdr>
</file>

<file path=word/numbering.xml><?xml version="1.0" encoding="utf-8"?>
<w:numbering xmlns:w="http://schemas.openxmlformats.org/wordprocessingml/2006/main">
  <w:abstractNum w:abstractNumId="2696596">
    <w:lvl>
      <w:numFmt w:val="bullet"/>
      <w:suff w:val="tab"/>
      <w:lvlText w:val="•"/>
      <w:rPr>
        <w:color w:val="3370ff"/>
      </w:rPr>
    </w:lvl>
  </w:abstractNum>
  <w:abstractNum w:abstractNumId="2696597">
    <w:lvl>
      <w:numFmt w:val="bullet"/>
      <w:suff w:val="tab"/>
      <w:lvlText w:val="•"/>
      <w:rPr>
        <w:color w:val="3370ff"/>
      </w:rPr>
    </w:lvl>
  </w:abstractNum>
  <w:abstractNum w:abstractNumId="2696598">
    <w:lvl>
      <w:numFmt w:val="bullet"/>
      <w:suff w:val="tab"/>
      <w:lvlText w:val="•"/>
      <w:rPr>
        <w:color w:val="3370ff"/>
      </w:rPr>
    </w:lvl>
  </w:abstractNum>
  <w:abstractNum w:abstractNumId="2696599">
    <w:lvl>
      <w:numFmt w:val="bullet"/>
      <w:suff w:val="tab"/>
      <w:lvlText w:val="•"/>
      <w:rPr>
        <w:color w:val="3370ff"/>
      </w:rPr>
    </w:lvl>
  </w:abstractNum>
  <w:abstractNum w:abstractNumId="2696600">
    <w:lvl>
      <w:numFmt w:val="bullet"/>
      <w:suff w:val="tab"/>
      <w:lvlText w:val="•"/>
      <w:rPr>
        <w:color w:val="3370ff"/>
      </w:rPr>
    </w:lvl>
  </w:abstractNum>
  <w:abstractNum w:abstractNumId="2696601">
    <w:lvl>
      <w:numFmt w:val="bullet"/>
      <w:suff w:val="tab"/>
      <w:lvlText w:val="•"/>
      <w:rPr>
        <w:color w:val="3370ff"/>
      </w:rPr>
    </w:lvl>
  </w:abstractNum>
  <w:abstractNum w:abstractNumId="2696602">
    <w:lvl>
      <w:numFmt w:val="bullet"/>
      <w:suff w:val="tab"/>
      <w:lvlText w:val="•"/>
      <w:rPr>
        <w:color w:val="3370ff"/>
      </w:rPr>
    </w:lvl>
  </w:abstractNum>
  <w:abstractNum w:abstractNumId="2696603">
    <w:lvl>
      <w:numFmt w:val="bullet"/>
      <w:suff w:val="tab"/>
      <w:lvlText w:val="•"/>
      <w:rPr>
        <w:color w:val="3370ff"/>
      </w:rPr>
    </w:lvl>
  </w:abstractNum>
  <w:abstractNum w:abstractNumId="2696604">
    <w:lvl>
      <w:numFmt w:val="bullet"/>
      <w:suff w:val="tab"/>
      <w:lvlText w:val="•"/>
      <w:rPr>
        <w:color w:val="3370ff"/>
      </w:rPr>
    </w:lvl>
  </w:abstractNum>
  <w:abstractNum w:abstractNumId="2696605">
    <w:lvl>
      <w:numFmt w:val="bullet"/>
      <w:suff w:val="tab"/>
      <w:lvlText w:val="•"/>
      <w:rPr>
        <w:color w:val="3370ff"/>
      </w:rPr>
    </w:lvl>
  </w:abstractNum>
  <w:abstractNum w:abstractNumId="2696606">
    <w:lvl>
      <w:numFmt w:val="bullet"/>
      <w:suff w:val="tab"/>
      <w:lvlText w:val="•"/>
      <w:rPr>
        <w:color w:val="3370ff"/>
      </w:rPr>
    </w:lvl>
  </w:abstractNum>
  <w:abstractNum w:abstractNumId="2696607">
    <w:lvl>
      <w:numFmt w:val="bullet"/>
      <w:suff w:val="tab"/>
      <w:lvlText w:val="•"/>
      <w:rPr>
        <w:color w:val="3370ff"/>
      </w:rPr>
    </w:lvl>
  </w:abstractNum>
  <w:abstractNum w:abstractNumId="2696608">
    <w:lvl>
      <w:numFmt w:val="bullet"/>
      <w:suff w:val="tab"/>
      <w:lvlText w:val="•"/>
      <w:rPr>
        <w:color w:val="3370ff"/>
      </w:rPr>
    </w:lvl>
  </w:abstractNum>
  <w:abstractNum w:abstractNumId="2696609">
    <w:lvl>
      <w:numFmt w:val="bullet"/>
      <w:suff w:val="tab"/>
      <w:lvlText w:val="•"/>
      <w:rPr>
        <w:color w:val="3370ff"/>
      </w:rPr>
    </w:lvl>
  </w:abstractNum>
  <w:abstractNum w:abstractNumId="2696610">
    <w:lvl>
      <w:numFmt w:val="bullet"/>
      <w:suff w:val="tab"/>
      <w:lvlText w:val="•"/>
      <w:rPr>
        <w:color w:val="3370ff"/>
      </w:rPr>
    </w:lvl>
  </w:abstractNum>
  <w:abstractNum w:abstractNumId="2696611">
    <w:lvl>
      <w:numFmt w:val="bullet"/>
      <w:suff w:val="tab"/>
      <w:lvlText w:val="•"/>
      <w:rPr>
        <w:color w:val="3370ff"/>
      </w:rPr>
    </w:lvl>
  </w:abstractNum>
  <w:abstractNum w:abstractNumId="2696612">
    <w:lvl>
      <w:numFmt w:val="bullet"/>
      <w:suff w:val="tab"/>
      <w:lvlText w:val="•"/>
      <w:rPr>
        <w:color w:val="3370ff"/>
      </w:rPr>
    </w:lvl>
  </w:abstractNum>
  <w:abstractNum w:abstractNumId="2696613">
    <w:lvl>
      <w:numFmt w:val="bullet"/>
      <w:suff w:val="tab"/>
      <w:lvlText w:val="•"/>
      <w:rPr>
        <w:color w:val="3370ff"/>
      </w:rPr>
    </w:lvl>
  </w:abstractNum>
  <w:abstractNum w:abstractNumId="2696614">
    <w:lvl>
      <w:numFmt w:val="bullet"/>
      <w:suff w:val="tab"/>
      <w:lvlText w:val="•"/>
      <w:rPr>
        <w:color w:val="3370ff"/>
      </w:rPr>
    </w:lvl>
  </w:abstractNum>
  <w:abstractNum w:abstractNumId="2696615">
    <w:lvl>
      <w:numFmt w:val="bullet"/>
      <w:suff w:val="tab"/>
      <w:lvlText w:val="•"/>
      <w:rPr>
        <w:color w:val="3370ff"/>
      </w:rPr>
    </w:lvl>
  </w:abstractNum>
  <w:abstractNum w:abstractNumId="2696616">
    <w:lvl>
      <w:numFmt w:val="bullet"/>
      <w:suff w:val="tab"/>
      <w:lvlText w:val="•"/>
      <w:rPr>
        <w:color w:val="3370ff"/>
      </w:rPr>
    </w:lvl>
  </w:abstractNum>
  <w:abstractNum w:abstractNumId="2696617">
    <w:lvl>
      <w:numFmt w:val="bullet"/>
      <w:suff w:val="tab"/>
      <w:lvlText w:val="•"/>
      <w:rPr>
        <w:color w:val="3370ff"/>
      </w:rPr>
    </w:lvl>
  </w:abstractNum>
  <w:abstractNum w:abstractNumId="2696618">
    <w:lvl>
      <w:numFmt w:val="bullet"/>
      <w:suff w:val="tab"/>
      <w:lvlText w:val="•"/>
      <w:rPr>
        <w:color w:val="3370ff"/>
      </w:rPr>
    </w:lvl>
  </w:abstractNum>
  <w:abstractNum w:abstractNumId="2696619">
    <w:lvl>
      <w:numFmt w:val="bullet"/>
      <w:suff w:val="tab"/>
      <w:lvlText w:val="•"/>
      <w:rPr>
        <w:color w:val="3370ff"/>
      </w:rPr>
    </w:lvl>
  </w:abstractNum>
  <w:abstractNum w:abstractNumId="2696620">
    <w:lvl>
      <w:numFmt w:val="bullet"/>
      <w:suff w:val="tab"/>
      <w:lvlText w:val="•"/>
      <w:rPr>
        <w:color w:val="3370ff"/>
      </w:rPr>
    </w:lvl>
  </w:abstractNum>
  <w:abstractNum w:abstractNumId="2696621">
    <w:lvl>
      <w:numFmt w:val="bullet"/>
      <w:suff w:val="tab"/>
      <w:lvlText w:val="•"/>
      <w:rPr>
        <w:color w:val="3370ff"/>
      </w:rPr>
    </w:lvl>
  </w:abstractNum>
  <w:abstractNum w:abstractNumId="2696622">
    <w:lvl>
      <w:numFmt w:val="bullet"/>
      <w:suff w:val="tab"/>
      <w:lvlText w:val="•"/>
      <w:rPr>
        <w:color w:val="3370ff"/>
      </w:rPr>
    </w:lvl>
  </w:abstractNum>
  <w:abstractNum w:abstractNumId="2696623">
    <w:lvl>
      <w:numFmt w:val="bullet"/>
      <w:suff w:val="tab"/>
      <w:lvlText w:val="•"/>
      <w:rPr>
        <w:color w:val="3370ff"/>
      </w:rPr>
    </w:lvl>
  </w:abstractNum>
  <w:abstractNum w:abstractNumId="2696624">
    <w:lvl>
      <w:numFmt w:val="bullet"/>
      <w:suff w:val="tab"/>
      <w:lvlText w:val="•"/>
      <w:rPr>
        <w:color w:val="3370ff"/>
      </w:rPr>
    </w:lvl>
  </w:abstractNum>
  <w:abstractNum w:abstractNumId="2696625">
    <w:lvl>
      <w:numFmt w:val="bullet"/>
      <w:suff w:val="tab"/>
      <w:lvlText w:val="•"/>
      <w:rPr>
        <w:color w:val="3370ff"/>
      </w:rPr>
    </w:lvl>
  </w:abstractNum>
  <w:abstractNum w:abstractNumId="2696626">
    <w:lvl>
      <w:numFmt w:val="bullet"/>
      <w:suff w:val="tab"/>
      <w:lvlText w:val="•"/>
      <w:rPr>
        <w:color w:val="3370ff"/>
      </w:rPr>
    </w:lvl>
  </w:abstractNum>
  <w:abstractNum w:abstractNumId="2696627">
    <w:lvl>
      <w:numFmt w:val="bullet"/>
      <w:suff w:val="tab"/>
      <w:lvlText w:val="•"/>
      <w:rPr>
        <w:color w:val="3370ff"/>
      </w:rPr>
    </w:lvl>
  </w:abstractNum>
  <w:abstractNum w:abstractNumId="2696628">
    <w:lvl>
      <w:numFmt w:val="bullet"/>
      <w:suff w:val="tab"/>
      <w:lvlText w:val="•"/>
      <w:rPr>
        <w:color w:val="3370ff"/>
      </w:rPr>
    </w:lvl>
  </w:abstractNum>
  <w:abstractNum w:abstractNumId="2696629">
    <w:lvl>
      <w:numFmt w:val="bullet"/>
      <w:suff w:val="tab"/>
      <w:lvlText w:val="•"/>
      <w:rPr>
        <w:color w:val="3370ff"/>
      </w:rPr>
    </w:lvl>
  </w:abstractNum>
  <w:abstractNum w:abstractNumId="2696630">
    <w:lvl>
      <w:numFmt w:val="bullet"/>
      <w:suff w:val="tab"/>
      <w:lvlText w:val="•"/>
      <w:rPr>
        <w:color w:val="3370ff"/>
      </w:rPr>
    </w:lvl>
  </w:abstractNum>
  <w:abstractNum w:abstractNumId="2696631">
    <w:lvl>
      <w:numFmt w:val="bullet"/>
      <w:suff w:val="tab"/>
      <w:lvlText w:val="•"/>
      <w:rPr>
        <w:color w:val="3370ff"/>
      </w:rPr>
    </w:lvl>
  </w:abstractNum>
  <w:num w:numId="1">
    <w:abstractNumId w:val="2696596"/>
  </w:num>
  <w:num w:numId="2">
    <w:abstractNumId w:val="2696597"/>
  </w:num>
  <w:num w:numId="3">
    <w:abstractNumId w:val="2696598"/>
  </w:num>
  <w:num w:numId="4">
    <w:abstractNumId w:val="2696599"/>
  </w:num>
  <w:num w:numId="5">
    <w:abstractNumId w:val="2696600"/>
  </w:num>
  <w:num w:numId="6">
    <w:abstractNumId w:val="2696601"/>
  </w:num>
  <w:num w:numId="7">
    <w:abstractNumId w:val="2696602"/>
  </w:num>
  <w:num w:numId="8">
    <w:abstractNumId w:val="2696603"/>
  </w:num>
  <w:num w:numId="9">
    <w:abstractNumId w:val="2696604"/>
  </w:num>
  <w:num w:numId="10">
    <w:abstractNumId w:val="2696605"/>
  </w:num>
  <w:num w:numId="11">
    <w:abstractNumId w:val="2696606"/>
  </w:num>
  <w:num w:numId="12">
    <w:abstractNumId w:val="2696607"/>
  </w:num>
  <w:num w:numId="13">
    <w:abstractNumId w:val="2696608"/>
  </w:num>
  <w:num w:numId="14">
    <w:abstractNumId w:val="2696609"/>
  </w:num>
  <w:num w:numId="15">
    <w:abstractNumId w:val="2696610"/>
  </w:num>
  <w:num w:numId="16">
    <w:abstractNumId w:val="2696611"/>
  </w:num>
  <w:num w:numId="17">
    <w:abstractNumId w:val="2696612"/>
  </w:num>
  <w:num w:numId="18">
    <w:abstractNumId w:val="2696613"/>
  </w:num>
  <w:num w:numId="19">
    <w:abstractNumId w:val="2696614"/>
  </w:num>
  <w:num w:numId="20">
    <w:abstractNumId w:val="2696615"/>
  </w:num>
  <w:num w:numId="21">
    <w:abstractNumId w:val="2696616"/>
  </w:num>
  <w:num w:numId="22">
    <w:abstractNumId w:val="2696617"/>
  </w:num>
  <w:num w:numId="23">
    <w:abstractNumId w:val="2696618"/>
  </w:num>
  <w:num w:numId="24">
    <w:abstractNumId w:val="2696619"/>
  </w:num>
  <w:num w:numId="25">
    <w:abstractNumId w:val="2696620"/>
  </w:num>
  <w:num w:numId="26">
    <w:abstractNumId w:val="2696621"/>
  </w:num>
  <w:num w:numId="27">
    <w:abstractNumId w:val="2696622"/>
  </w:num>
  <w:num w:numId="28">
    <w:abstractNumId w:val="2696623"/>
  </w:num>
  <w:num w:numId="29">
    <w:abstractNumId w:val="2696624"/>
  </w:num>
  <w:num w:numId="30">
    <w:abstractNumId w:val="2696625"/>
  </w:num>
  <w:num w:numId="31">
    <w:abstractNumId w:val="2696626"/>
  </w:num>
  <w:num w:numId="32">
    <w:abstractNumId w:val="2696627"/>
  </w:num>
  <w:num w:numId="33">
    <w:abstractNumId w:val="2696628"/>
  </w:num>
  <w:num w:numId="34">
    <w:abstractNumId w:val="2696629"/>
  </w:num>
  <w:num w:numId="35">
    <w:abstractNumId w:val="2696630"/>
  </w:num>
  <w:num w:numId="36">
    <w:abstractNumId w:val="2696631"/>
  </w:num>
</w:numbering>
</file>

<file path=word/settings.xml><?xml version="1.0" encoding="utf-8"?>
<w:settings xmlns:w="http://schemas.openxmlformats.org/wordprocessingml/2006/main"/>
</file>

<file path=word/styles.xml><?xml version="1.0" encoding="utf-8"?>
<w:styles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arget="settings.xml" Type="http://schemas.openxmlformats.org/officeDocument/2006/relationships/settings"/><Relationship Id="rId2" Target="styles.xml" Type="http://schemas.openxmlformats.org/officeDocument/2006/relationships/styles"/><Relationship Id="rId3" Target="footer1.xml" Type="http://schemas.openxmlformats.org/officeDocument/2006/relationships/footer"/><Relationship Id="rId4" Target="numbering.xml" Type="http://schemas.openxmlformats.org/officeDocument/2006/relationships/numbering"/><Relationship Id="rId5" Target="header1.xml" Type="http://schemas.openxmlformats.org/officeDocument/2006/relationships/header"/></Relationships>
</file>

<file path=docProps/app.xml><?xml version="1.0" encoding="utf-8"?>
<Properties xmlns="http://schemas.openxmlformats.org/officeDocument/2006/extended-properties">
  <Application>Apache POI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2026-02-13T00:47:52Z</dcterms:created>
  <dc:creator>Apache POI</dc:creator>
</cp:coreProperties>
</file>