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25BC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51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6"/>
          <w:szCs w:val="36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6"/>
          <w:szCs w:val="36"/>
          <w:shd w:val="clear" w:fill="FFFFFF"/>
        </w:rPr>
        <w:t>NAC公链AI估值系统法典（重构终极版）</w:t>
      </w:r>
    </w:p>
    <w:p w14:paraId="3132985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序章：宪法原则——双重价值体系的基石</w:t>
      </w:r>
    </w:p>
    <w:p w14:paraId="3DD8B83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0.1 核心哲学：尺与物的分离</w:t>
      </w:r>
    </w:p>
    <w:p w14:paraId="7746FC97">
      <w:pPr>
        <w:rPr>
          <w:rFonts w:hint="eastAsia"/>
        </w:rPr>
      </w:pPr>
      <w:r>
        <w:rPr>
          <w:rFonts w:hint="eastAsia"/>
        </w:rPr>
        <w:t>1. 尺度恒定，万物可量：XTZH是链上价值尺度（尺），其价格由一篮子硬通货与基础商品决定，力求稳定；资产估值是测量过程（量），其结果以XTZH为单位表达。</w:t>
      </w:r>
    </w:p>
    <w:p w14:paraId="4D22F697">
      <w:pPr>
        <w:rPr>
          <w:rFonts w:hint="eastAsia"/>
        </w:rPr>
      </w:pPr>
      <w:r>
        <w:rPr>
          <w:rFonts w:hint="eastAsia"/>
        </w:rPr>
        <w:t>2. 双系统独立运行，单点协同：</w:t>
      </w:r>
    </w:p>
    <w:p w14:paraId="4834A071">
      <w:pPr>
        <w:rPr>
          <w:rFonts w:hint="eastAsia"/>
        </w:rPr>
      </w:pPr>
      <w:r>
        <w:rPr>
          <w:rFonts w:hint="eastAsia"/>
        </w:rPr>
        <w:t xml:space="preserve">   - XTZH定价系统：基于SDR六货币+18种民生商品+黄金的权重组合，独立运行，为全链提供价值基准。</w:t>
      </w:r>
    </w:p>
    <w:p w14:paraId="648E51F6">
      <w:pPr>
        <w:rPr>
          <w:rFonts w:hint="eastAsia"/>
        </w:rPr>
      </w:pPr>
      <w:r>
        <w:rPr>
          <w:rFonts w:hint="eastAsia"/>
        </w:rPr>
        <w:t xml:space="preserve">   - 资产AI估值系统：基于GNACS Pro分类，调用多模型对具体资产进行估值，结果以XTZH计价。</w:t>
      </w:r>
    </w:p>
    <w:p w14:paraId="1118D9B8">
      <w:pPr>
        <w:rPr>
          <w:rFonts w:hint="eastAsia"/>
        </w:rPr>
      </w:pPr>
      <w:r>
        <w:rPr>
          <w:rFonts w:hint="eastAsia"/>
        </w:rPr>
        <w:t xml:space="preserve">   - 协同点：资产估值结果（XTZH数量）与XTZH实时基准价格共同决定该资产的链上法币（如USD）等值。</w:t>
      </w:r>
    </w:p>
    <w:p w14:paraId="77CFBA8F">
      <w:pPr>
        <w:rPr>
          <w:rFonts w:hint="eastAsia"/>
        </w:rPr>
      </w:pPr>
      <w:r>
        <w:rPr>
          <w:rFonts w:hint="eastAsia"/>
        </w:rPr>
        <w:t>3. 稳定性源自机制，公信力源自透明：</w:t>
      </w:r>
    </w:p>
    <w:p w14:paraId="6AC636E9">
      <w:pPr>
        <w:rPr>
          <w:rFonts w:hint="eastAsia"/>
        </w:rPr>
      </w:pPr>
      <w:r>
        <w:rPr>
          <w:rFonts w:hint="eastAsia"/>
        </w:rPr>
        <w:t xml:space="preserve">   - XTZH的稳定通过商品篮权重、黄金储备双层机制实现。</w:t>
      </w:r>
    </w:p>
    <w:p w14:paraId="143A0C14">
      <w:pPr>
        <w:rPr>
          <w:rFonts w:hint="eastAsia"/>
        </w:rPr>
      </w:pPr>
      <w:r>
        <w:rPr>
          <w:rFonts w:hint="eastAsia"/>
        </w:rPr>
        <w:t xml:space="preserve">   - 估值公信力通过模型开源、数据可验、过程可溯实现。</w:t>
      </w:r>
    </w:p>
    <w:p w14:paraId="42B3F7CB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能量闭环驱动进化：XTZH定价与AI估值过程均消耗XIC作为能量，形成经济激励与安全闭环，驱动系统持续优化。</w:t>
      </w:r>
    </w:p>
    <w:p w14:paraId="0D82CCF4">
      <w:pPr>
        <w:numPr>
          <w:ilvl w:val="0"/>
          <w:numId w:val="1"/>
        </w:numPr>
        <w:rPr>
          <w:rFonts w:hint="eastAsia"/>
        </w:rPr>
      </w:pPr>
    </w:p>
    <w:p w14:paraId="2F0EE17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51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0.2 NAC公链AI估值系统时序交互图</w:t>
      </w:r>
    </w:p>
    <w:p w14:paraId="1432373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 w:val="0"/>
          <w:bCs w:val="0"/>
          <w:caps w:val="0"/>
          <w:color w:val="0F1115"/>
          <w:spacing w:val="0"/>
          <w:sz w:val="30"/>
          <w:szCs w:val="30"/>
        </w:rPr>
      </w:pPr>
    </w:p>
    <w:p w14:paraId="7AB307E9">
      <w:pPr>
        <w:numPr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8285" cy="8798560"/>
            <wp:effectExtent l="0" t="0" r="18415" b="2540"/>
            <wp:docPr id="1" name="图片 1" descr="deepseek_mermaid_20260119_007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60119_007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8285" cy="879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95411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时序图关键节点说明</w:t>
      </w:r>
    </w:p>
    <w:p w14:paraId="0BD0C04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第一部分：资产上链估值流程（步骤1-5）</w:t>
      </w:r>
    </w:p>
    <w:p w14:paraId="7812D00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目标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：确定资产的链上价值（以XTZH为单位）</w:t>
      </w:r>
    </w:p>
    <w:p w14:paraId="07A721D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核心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：AI估值系统独立工作，根据GNACS编码选择模型，调用市场数据进行估值</w:t>
      </w:r>
    </w:p>
    <w:p w14:paraId="0009E75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结果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：资产价值 = 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F1115"/>
          <w:spacing w:val="0"/>
          <w:sz w:val="21"/>
          <w:szCs w:val="21"/>
          <w:bdr w:val="none" w:color="auto" w:sz="0" w:space="0"/>
          <w:shd w:val="clear" w:fill="EBEEF2"/>
        </w:rPr>
        <w:t>N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XTZH（XTZH个数）</w:t>
      </w:r>
    </w:p>
    <w:p w14:paraId="78A7C78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</w:p>
    <w:p w14:paraId="6B10EB2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第二部分：XTZH价格确定与铸造（步骤6-12）</w:t>
      </w:r>
    </w:p>
    <w:p w14:paraId="2719BB9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</w:pPr>
    </w:p>
    <w:p w14:paraId="75ABCD6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目标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：确定XTZH的美元价格，计算可铸造量</w:t>
      </w:r>
    </w:p>
    <w:p w14:paraId="031A2C62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0" w:hanging="360"/>
      </w:pPr>
    </w:p>
    <w:p w14:paraId="134D71C5">
      <w:pPr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0B336484">
      <w:pPr>
        <w:pStyle w:val="5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核心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6B422076">
      <w:pPr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0ACC9EC0">
      <w:pPr>
        <w:keepNext w:val="0"/>
        <w:keepLines w:val="0"/>
        <w:widowControl/>
        <w:numPr>
          <w:ilvl w:val="1"/>
          <w:numId w:val="2"/>
        </w:numPr>
        <w:suppressLineNumbers w:val="0"/>
        <w:spacing w:before="0" w:beforeAutospacing="1" w:after="0" w:afterAutospacing="1"/>
        <w:ind w:left="0" w:hanging="360"/>
      </w:pPr>
    </w:p>
    <w:p w14:paraId="34B9817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XTZH定价系统独立计算基准价格（基于SDR+商品+黄金）</w:t>
      </w:r>
    </w:p>
    <w:p w14:paraId="753AB6D7">
      <w:pPr>
        <w:keepNext w:val="0"/>
        <w:keepLines w:val="0"/>
        <w:widowControl/>
        <w:numPr>
          <w:ilvl w:val="1"/>
          <w:numId w:val="2"/>
        </w:numPr>
        <w:suppressLineNumbers w:val="0"/>
        <w:spacing w:before="0" w:beforeAutospacing="1" w:after="0" w:afterAutospacing="1"/>
        <w:ind w:left="0" w:hanging="360"/>
      </w:pPr>
    </w:p>
    <w:p w14:paraId="285A5E4D">
      <w:pPr>
        <w:keepNext w:val="0"/>
        <w:keepLines w:val="0"/>
        <w:widowControl/>
        <w:numPr>
          <w:ilvl w:val="1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1170C36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资产法币价值 = 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F1115"/>
          <w:spacing w:val="0"/>
          <w:sz w:val="18"/>
          <w:szCs w:val="18"/>
          <w:bdr w:val="none" w:color="auto" w:sz="0" w:space="0"/>
          <w:shd w:val="clear" w:fill="EBEEF2"/>
        </w:rPr>
        <w:t>N XTZH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× 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F1115"/>
          <w:spacing w:val="0"/>
          <w:sz w:val="18"/>
          <w:szCs w:val="18"/>
          <w:bdr w:val="none" w:color="auto" w:sz="0" w:space="0"/>
          <w:shd w:val="clear" w:fill="EBEEF2"/>
        </w:rPr>
        <w:t>XTZH价格</w:t>
      </w:r>
    </w:p>
    <w:p w14:paraId="1E2E9EC7">
      <w:pPr>
        <w:keepNext w:val="0"/>
        <w:keepLines w:val="0"/>
        <w:widowControl/>
        <w:numPr>
          <w:ilvl w:val="1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0EC9A274">
      <w:pPr>
        <w:keepNext w:val="0"/>
        <w:keepLines w:val="0"/>
        <w:widowControl/>
        <w:numPr>
          <w:ilvl w:val="1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166A05A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铸造量 = 资产法币价值 × 质押率 / XTZH价格</w:t>
      </w:r>
    </w:p>
    <w:p w14:paraId="6C4439DE">
      <w:pPr>
        <w:keepNext w:val="0"/>
        <w:keepLines w:val="0"/>
        <w:widowControl/>
        <w:numPr>
          <w:ilvl w:val="1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2B6EB379">
      <w:pPr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1A59AB3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关键分离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：XTZH价格由大宗商品决定，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不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随单一资产估值波动</w:t>
      </w:r>
    </w:p>
    <w:p w14:paraId="2FAD9D0E">
      <w:pPr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0" w:afterAutospacing="1"/>
        <w:ind w:left="0" w:hanging="360"/>
      </w:pPr>
    </w:p>
    <w:p w14:paraId="56C7847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第三部分：黄金储备联动（步骤13-17）</w:t>
      </w:r>
    </w:p>
    <w:p w14:paraId="7FB2AB3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0" w:hanging="360"/>
      </w:pPr>
    </w:p>
    <w:p w14:paraId="53534D9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目标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：为铸造的XTZH建立1.25倍黄金储备</w:t>
      </w:r>
    </w:p>
    <w:p w14:paraId="44814ECA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0" w:hanging="360"/>
      </w:pPr>
    </w:p>
    <w:p w14:paraId="53373D08">
      <w:pPr>
        <w:keepNext w:val="0"/>
        <w:keepLines w:val="0"/>
        <w:widowControl/>
        <w:numPr>
          <w:ilvl w:val="0"/>
          <w:numId w:val="3"/>
        </w:numPr>
        <w:suppressLineNumbers w:val="0"/>
        <w:spacing w:before="90" w:beforeAutospacing="0" w:after="0" w:afterAutospacing="1"/>
        <w:ind w:left="0" w:hanging="360"/>
      </w:pPr>
    </w:p>
    <w:p w14:paraId="1E6A614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核心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：每铸造1单位XTZH，系统自动建立1.25单位价值的黄金永续合约持仓</w:t>
      </w:r>
    </w:p>
    <w:p w14:paraId="5207697B">
      <w:pPr>
        <w:keepNext w:val="0"/>
        <w:keepLines w:val="0"/>
        <w:widowControl/>
        <w:numPr>
          <w:ilvl w:val="0"/>
          <w:numId w:val="3"/>
        </w:numPr>
        <w:suppressLineNumbers w:val="0"/>
        <w:spacing w:before="90" w:beforeAutospacing="0" w:after="0" w:afterAutospacing="1"/>
        <w:ind w:left="0" w:hanging="360"/>
      </w:pPr>
    </w:p>
    <w:p w14:paraId="2E4E1ACF">
      <w:pPr>
        <w:keepNext w:val="0"/>
        <w:keepLines w:val="0"/>
        <w:widowControl/>
        <w:numPr>
          <w:ilvl w:val="0"/>
          <w:numId w:val="3"/>
        </w:numPr>
        <w:suppressLineNumbers w:val="0"/>
        <w:spacing w:before="90" w:beforeAutospacing="0" w:after="0" w:afterAutospacing="1"/>
        <w:ind w:left="0" w:hanging="360"/>
      </w:pPr>
    </w:p>
    <w:p w14:paraId="30BDFF8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作用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：提供硬通货兜底，增强系统稳定性</w:t>
      </w:r>
    </w:p>
    <w:p w14:paraId="17155385">
      <w:pPr>
        <w:keepNext w:val="0"/>
        <w:keepLines w:val="0"/>
        <w:widowControl/>
        <w:numPr>
          <w:ilvl w:val="0"/>
          <w:numId w:val="3"/>
        </w:numPr>
        <w:suppressLineNumbers w:val="0"/>
        <w:spacing w:before="90" w:beforeAutospacing="0" w:after="0" w:afterAutospacing="1"/>
        <w:ind w:left="0" w:hanging="360"/>
      </w:pPr>
    </w:p>
    <w:p w14:paraId="4F966A72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第四部分：持续监控与再平衡（步骤18-26）</w:t>
      </w:r>
    </w:p>
    <w:p w14:paraId="174D6F8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0" w:hanging="360"/>
      </w:pPr>
    </w:p>
    <w:p w14:paraId="7C3EBF7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实时定价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：XTZH价格每秒更新，确保价值尺度稳定</w:t>
      </w:r>
    </w:p>
    <w:p w14:paraId="651D025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0" w:hanging="360"/>
      </w:pPr>
    </w:p>
    <w:p w14:paraId="0398D6ED">
      <w:pPr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0" w:afterAutospacing="1"/>
        <w:ind w:left="0" w:hanging="360"/>
      </w:pPr>
    </w:p>
    <w:p w14:paraId="5B871857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定期再平衡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：每日检查黄金覆盖率，维持在1.0-1.1区间</w:t>
      </w:r>
    </w:p>
    <w:p w14:paraId="5BAE4922">
      <w:pPr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0" w:afterAutospacing="1"/>
        <w:ind w:left="0" w:hanging="360"/>
      </w:pPr>
    </w:p>
    <w:p w14:paraId="0A2BADEE">
      <w:pPr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0" w:afterAutospacing="1"/>
        <w:ind w:left="0" w:hanging="360"/>
      </w:pPr>
    </w:p>
    <w:p w14:paraId="0C2DB38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资产重估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：定期或事件触发时重新估值资产，更新链上记录</w:t>
      </w:r>
    </w:p>
    <w:p w14:paraId="3239B34B">
      <w:pPr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0" w:afterAutospacing="1"/>
        <w:ind w:left="0" w:hanging="360"/>
      </w:pPr>
    </w:p>
    <w:p w14:paraId="696307A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第五部分：风险监控与熔断（步骤27-30）</w:t>
      </w:r>
    </w:p>
    <w:p w14:paraId="0745E88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0" w:hanging="360"/>
      </w:pPr>
    </w:p>
    <w:p w14:paraId="0AB065A6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多指标监控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：同时监控XTZH价格、黄金覆盖率、资产覆盖率</w:t>
      </w:r>
    </w:p>
    <w:p w14:paraId="50D77D6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0" w:hanging="360"/>
      </w:pPr>
    </w:p>
    <w:p w14:paraId="70793E61">
      <w:pPr>
        <w:keepNext w:val="0"/>
        <w:keepLines w:val="0"/>
        <w:widowControl/>
        <w:numPr>
          <w:ilvl w:val="0"/>
          <w:numId w:val="5"/>
        </w:numPr>
        <w:suppressLineNumbers w:val="0"/>
        <w:spacing w:before="90" w:beforeAutospacing="0" w:after="0" w:afterAutospacing="1"/>
        <w:ind w:left="0" w:hanging="360"/>
      </w:pPr>
    </w:p>
    <w:p w14:paraId="0534224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熔断机制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：多重条件同时触发时启动有序清算，保护XTZH持有者</w:t>
      </w:r>
    </w:p>
    <w:p w14:paraId="2D424A73">
      <w:pPr>
        <w:keepNext w:val="0"/>
        <w:keepLines w:val="0"/>
        <w:widowControl/>
        <w:numPr>
          <w:ilvl w:val="0"/>
          <w:numId w:val="5"/>
        </w:numPr>
        <w:suppressLineNumbers w:val="0"/>
        <w:spacing w:before="90" w:beforeAutospacing="0" w:after="0" w:afterAutospacing="1"/>
        <w:ind w:left="0" w:hanging="360"/>
      </w:pPr>
    </w:p>
    <w:p w14:paraId="0863EC9C">
      <w:pPr>
        <w:keepNext w:val="0"/>
        <w:keepLines w:val="0"/>
        <w:widowControl/>
        <w:numPr>
          <w:ilvl w:val="0"/>
          <w:numId w:val="5"/>
        </w:numPr>
        <w:suppressLineNumbers w:val="0"/>
        <w:spacing w:before="90" w:beforeAutospacing="0" w:after="0" w:afterAutospacing="1"/>
        <w:ind w:left="0" w:hanging="360"/>
      </w:pPr>
    </w:p>
    <w:p w14:paraId="10C8204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自动执行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：完全由智能合约控制，避免人为干预延迟</w:t>
      </w:r>
    </w:p>
    <w:p w14:paraId="5FD07635">
      <w:pPr>
        <w:keepNext w:val="0"/>
        <w:keepLines w:val="0"/>
        <w:widowControl/>
        <w:numPr>
          <w:ilvl w:val="0"/>
          <w:numId w:val="5"/>
        </w:numPr>
        <w:suppressLineNumbers w:val="0"/>
        <w:spacing w:before="90" w:beforeAutospacing="0" w:after="0" w:afterAutospacing="1"/>
        <w:ind w:left="0" w:hanging="360"/>
      </w:pPr>
    </w:p>
    <w:p w14:paraId="3D11215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三核系统独立性与协同性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0"/>
        <w:gridCol w:w="1923"/>
        <w:gridCol w:w="1109"/>
        <w:gridCol w:w="2152"/>
        <w:gridCol w:w="2032"/>
      </w:tblGrid>
      <w:tr w14:paraId="2125A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8FE644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系统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9A4BDB5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核心功能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C65D789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运行频率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35E7666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独立性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EBED3E5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协同点</w:t>
            </w:r>
          </w:p>
        </w:tc>
      </w:tr>
      <w:tr w14:paraId="32C0E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AC15C5B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Style w:val="8"/>
                <w:rFonts w:hint="default" w:ascii="Segoe UI" w:hAnsi="Segoe UI" w:eastAsia="Segoe UI" w:cs="Segoe UI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XTZH定价系统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9607C63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计算XTZH基准价格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25814E9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每秒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56F85FE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完全独立，不受资产影响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6AA5533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为资产估值提供计价单位</w:t>
            </w:r>
          </w:p>
        </w:tc>
      </w:tr>
      <w:tr w14:paraId="157EF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368AFC1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Style w:val="8"/>
                <w:rFonts w:hint="default" w:ascii="Segoe UI" w:hAnsi="Segoe UI" w:eastAsia="Segoe UI" w:cs="Segoe UI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AI估值系统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B8A8A44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评估具体资产价值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0F02D6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按需/定期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979F17B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独立估值，输出XTZH个数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54ECD56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使用XTZH作为价值单位</w:t>
            </w:r>
          </w:p>
        </w:tc>
      </w:tr>
      <w:tr w14:paraId="01582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A255ED1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Style w:val="8"/>
                <w:rFonts w:hint="default" w:ascii="Segoe UI" w:hAnsi="Segoe UI" w:eastAsia="Segoe UI" w:cs="Segoe UI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黄金储备系统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8F1E2D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管理黄金持仓与再平衡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AAF4F7D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实时/每日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8843189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独立运行，监控市场</w:t>
            </w:r>
          </w:p>
        </w:tc>
        <w:tc>
          <w:tcPr>
            <w:tcW w:w="0" w:type="auto"/>
            <w:shd w:val="clear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F0AEB28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 w:ascii="Segoe UI" w:hAnsi="Segoe UI" w:eastAsia="Segoe UI" w:cs="Segoe UI"/>
                <w:sz w:val="22"/>
                <w:szCs w:val="22"/>
              </w:rPr>
            </w:pPr>
            <w:r>
              <w:rPr>
                <w:rFonts w:hint="default" w:ascii="Segoe UI" w:hAnsi="Segoe UI" w:eastAsia="Segoe UI" w:cs="Segoe U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为铸造的XTZH提供超额储备</w:t>
            </w:r>
          </w:p>
        </w:tc>
      </w:tr>
    </w:tbl>
    <w:p w14:paraId="12FD21C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关键设计亮点</w:t>
      </w:r>
    </w:p>
    <w:p w14:paraId="0A1FF69F">
      <w:pPr>
        <w:pStyle w:val="5"/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0" w:after="120" w:afterAutospacing="0"/>
        <w:ind w:left="425" w:leftChars="0" w:right="0" w:rightChars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价值尺度与价值测量分离</w:t>
      </w:r>
    </w:p>
    <w:p w14:paraId="7ED95AB8">
      <w:pPr>
        <w:pStyle w:val="5"/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XTZH是"尺"，其稳定性由大宗商品篮子和黄金储备保证</w:t>
      </w:r>
    </w:p>
    <w:p w14:paraId="01DB696D">
      <w:pPr>
        <w:pStyle w:val="5"/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AI估值是"测量工具"，专注于评估资产内在价值</w:t>
      </w:r>
    </w:p>
    <w:p w14:paraId="6F861E53">
      <w:pPr>
        <w:pStyle w:val="5"/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0" w:after="120" w:afterAutospacing="0"/>
        <w:ind w:left="425" w:leftChars="0" w:right="0" w:rightChars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双重锚定，双层稳定</w:t>
      </w:r>
    </w:p>
    <w:p w14:paraId="245E1247">
      <w:pPr>
        <w:pStyle w:val="5"/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：每XTZH有足额RWA资产支持</w:t>
      </w:r>
    </w:p>
    <w:p w14:paraId="66E605EF">
      <w:pPr>
        <w:pStyle w:val="5"/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：系统持有125%的黄金储备作为终极保障</w:t>
      </w:r>
    </w:p>
    <w:p w14:paraId="27243ADE">
      <w:pPr>
        <w:pStyle w:val="5"/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0" w:after="120" w:afterAutospacing="0"/>
        <w:ind w:left="425" w:leftChars="0" w:right="0" w:rightChars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全自动闭环</w:t>
      </w:r>
    </w:p>
    <w:p w14:paraId="0B19E4ED">
      <w:pPr>
        <w:pStyle w:val="5"/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从资产上链、估值、铸造到储备调整，全程自动化</w:t>
      </w:r>
    </w:p>
    <w:p w14:paraId="0C7B9368">
      <w:pPr>
        <w:pStyle w:val="5"/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减少人为干预，提高效率，降低操作风险</w:t>
      </w:r>
    </w:p>
    <w:p w14:paraId="3FD34A32">
      <w:pPr>
        <w:pStyle w:val="5"/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0" w:after="120" w:afterAutospacing="0"/>
        <w:ind w:left="425" w:leftChars="0" w:right="0" w:rightChars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透明可验证</w:t>
      </w:r>
    </w:p>
    <w:p w14:paraId="4F7375D9">
      <w:pPr>
        <w:pStyle w:val="5"/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所有价格数据来自预言机，可追溯验证</w:t>
      </w:r>
    </w:p>
    <w:p w14:paraId="1A7D575B">
      <w:pPr>
        <w:pStyle w:val="5"/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估值模型、参数、计算过程全透明</w:t>
      </w:r>
    </w:p>
    <w:p w14:paraId="0F550721">
      <w:pPr>
        <w:pStyle w:val="5"/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0" w:after="0" w:afterAutospacing="0"/>
        <w:ind w:left="420" w:leftChars="0" w:right="0" w:rightChars="0" w:hanging="420" w:firstLineChars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黄金持仓公开可查</w:t>
      </w:r>
    </w:p>
    <w:p w14:paraId="557133F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这个时序图清晰地展示了NAC公链AI估值系统的三核架构如何协同工作，解决了"XTZH是妖怪"的问题，实现了价值尺度稳定与资产估值精准的双重目标。</w:t>
      </w:r>
    </w:p>
    <w:p w14:paraId="711FD6F7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第一章：XTZH定价系统法典——定义链上价值尺度</w:t>
      </w:r>
    </w:p>
    <w:p w14:paraId="183CE04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1.1 定价模型宪法</w:t>
      </w:r>
    </w:p>
    <w:p w14:paraId="083D1CD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XTZH定价公式：</w:t>
      </w:r>
    </w:p>
    <w:p w14:paraId="4E24DA3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XTZH_Price_USD = Σ(Component_Price_i × Weight_i) × Stability_Adjustment_Factor</w:t>
      </w:r>
    </w:p>
    <w:p w14:paraId="3D86DB4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076EC1A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其中：</w:t>
      </w:r>
    </w:p>
    <w:p w14:paraId="31BEE9D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Component_Price_i: 成分i的实时美元价格</w:t>
      </w:r>
    </w:p>
    <w:p w14:paraId="788D923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Weight_i: 成分i在篮子中的固定权重</w:t>
      </w:r>
    </w:p>
    <w:p w14:paraId="2FC7A30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Stability_Adjustment_Factor: 黄金储备覆盖率的稳定调节系数（范围0.99-1.01）</w:t>
      </w:r>
    </w:p>
    <w:p w14:paraId="572EE38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1.2 定价篮子构成与权重 (宪法级参数，治理锁定)</w:t>
      </w:r>
    </w:p>
    <w:p w14:paraId="1F331AE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一篮子成分（三类，总权重100%）：</w:t>
      </w:r>
    </w:p>
    <w:p w14:paraId="1166B57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0E33378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第一类：SDR货币组合 (总权重 40%)</w:t>
      </w:r>
    </w:p>
    <w:p w14:paraId="7D7902B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美元（USD）: 权重 = 41.73% × 40% = 16.692%</w:t>
      </w:r>
    </w:p>
    <w:p w14:paraId="7F1D073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欧元（EUR）: 权重 = 30.93% × 40% = 12.372%</w:t>
      </w:r>
    </w:p>
    <w:p w14:paraId="5EFFEEB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人民币（CNY）: 权重 = 10.92% × 40% = 4.368%</w:t>
      </w:r>
    </w:p>
    <w:p w14:paraId="679B5C6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日元（JPY）: 权重 = 8.33% × 40% = 3.332%</w:t>
      </w:r>
    </w:p>
    <w:p w14:paraId="7F33B90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英镑（GBP）: 权重 = 8.09% × 40% = 3.236%</w:t>
      </w:r>
    </w:p>
    <w:p w14:paraId="228D4DE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*数据源：IMF每日SDR汇率估值，汇率转化为USD/单位货币。</w:t>
      </w:r>
    </w:p>
    <w:p w14:paraId="3892FB5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47409A4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第二类：18种民生与汇率敏感商品 (总权重 50%)</w:t>
      </w:r>
    </w:p>
    <w:p w14:paraId="4ED8E3A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民生基础品 (子权重 25%):</w:t>
      </w:r>
    </w:p>
    <w:p w14:paraId="1B1C35F0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1. 小麦: 3.0%</w:t>
      </w:r>
    </w:p>
    <w:p w14:paraId="1AFC532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2. 玉米: 2.8%</w:t>
      </w:r>
    </w:p>
    <w:p w14:paraId="111A038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3. 大豆: 3.2%</w:t>
      </w:r>
    </w:p>
    <w:p w14:paraId="72F0EC7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4. 稻谷: 2.5%</w:t>
      </w:r>
    </w:p>
    <w:p w14:paraId="4C3F466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5. 菜籽油: 2.2%</w:t>
      </w:r>
    </w:p>
    <w:p w14:paraId="75F7699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6. 猪肉: 3.5%</w:t>
      </w:r>
    </w:p>
    <w:p w14:paraId="5D0240F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7. 牛奶: 2.0%</w:t>
      </w:r>
    </w:p>
    <w:p w14:paraId="6F5C9DA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8. 棉花: 2.3%</w:t>
      </w:r>
    </w:p>
    <w:p w14:paraId="7254800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9. 白糖: 3.5%</w:t>
      </w:r>
    </w:p>
    <w:p w14:paraId="76D15F3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工业基础品 (子权重 15%):</w:t>
      </w:r>
    </w:p>
    <w:p w14:paraId="3AE6BBA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10. 原油: 4.0%</w:t>
      </w:r>
    </w:p>
    <w:p w14:paraId="09BE4116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11. 铜: 3.5%</w:t>
      </w:r>
    </w:p>
    <w:p w14:paraId="5454071E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12. 铝: 2.5%</w:t>
      </w:r>
    </w:p>
    <w:p w14:paraId="3C45E83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13. 铁矿石: 3.0%</w:t>
      </w:r>
    </w:p>
    <w:p w14:paraId="15D0B44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14. 螺纹钢: 2.0%</w:t>
      </w:r>
    </w:p>
    <w:p w14:paraId="5DFEA29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汇率关联品 (子权重 10%):</w:t>
      </w:r>
    </w:p>
    <w:p w14:paraId="2AE6CC4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15. 天然橡胶: 3.0%</w:t>
      </w:r>
    </w:p>
    <w:p w14:paraId="4BD660C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16. 棕榈油: 2.5%</w:t>
      </w:r>
    </w:p>
    <w:p w14:paraId="4FB716C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17. 咖啡豆: 2.0%</w:t>
      </w:r>
    </w:p>
    <w:p w14:paraId="08F021D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18. 阴极铜: 2.5%</w:t>
      </w:r>
    </w:p>
    <w:p w14:paraId="582B05D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*数据源：全球主要期货交易所（CBOT, LME, ICE等）主力合约实时价格，统一换算为USD/公吨。</w:t>
      </w:r>
    </w:p>
    <w:p w14:paraId="0949D84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4A99E939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第三类：黄金 (总权重 10%)</w:t>
      </w:r>
    </w:p>
    <w:p w14:paraId="072B91C9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伦敦金银市场协会（LBMA）黄金下午定盘价。</w:t>
      </w:r>
    </w:p>
    <w:p w14:paraId="662DBFCE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权重: 10%。</w:t>
      </w:r>
    </w:p>
    <w:p w14:paraId="03B0E6A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35DB19B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权重调整：</w:t>
      </w:r>
    </w:p>
    <w:p w14:paraId="2E9CF50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初始权重由NAC治理委员会提案，经XIC持有者投票通过后写入宪法。</w:t>
      </w:r>
    </w:p>
    <w:p w14:paraId="5D7F763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每年可根据全球贸易量、消费结构数据由治理发起一次微调提案（单成分调整幅度≤±20%）。</w:t>
      </w:r>
    </w:p>
    <w:p w14:paraId="68C2B5B5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1.3 定价引擎运行机制</w:t>
      </w:r>
    </w:p>
    <w:p w14:paraId="0568615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数据输入与验证：</w:t>
      </w:r>
    </w:p>
    <w:p w14:paraId="6A42E72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1. 预言机网络：从至少5个独立预言机节点获取三类成分的实时价格。</w:t>
      </w:r>
    </w:p>
    <w:p w14:paraId="526AE19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2. 共识过滤：取中位数价格作为有效输入，排除异常值。</w:t>
      </w:r>
    </w:p>
    <w:p w14:paraId="103B2389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3. 时间戳同步：所有成分价格取同一时间窗口（±30秒）内的数据。</w:t>
      </w:r>
    </w:p>
    <w:p w14:paraId="64B777A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03F354B0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计算与发布：</w:t>
      </w:r>
    </w:p>
    <w:p w14:paraId="666E7B4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1. 频率：每秒计算并发布一次XTZH基准价格。</w:t>
      </w:r>
    </w:p>
    <w:p w14:paraId="2242E4A6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2. 输出：XTZH_Price_USD (例如: 1 XTZH = 1.052 USD)。</w:t>
      </w:r>
    </w:p>
    <w:p w14:paraId="444E653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3. 链上存储：最新价格写入定价预言机合约，供全链查询。</w:t>
      </w:r>
    </w:p>
    <w:p w14:paraId="68ABC0C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4. 历史记录：每日时间加权平均价格（TWAP）写入PostgreSQL。</w:t>
      </w:r>
    </w:p>
    <w:p w14:paraId="41EB4B5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07AEE54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稳定性调节因子 (Stability_Adjustment_Factor)：</w:t>
      </w:r>
    </w:p>
    <w:p w14:paraId="7C1D6A2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因子 = 0.99 + 0.02 × (Current_Gold_Coverage_Ratio - 1.0)</w:t>
      </w:r>
    </w:p>
    <w:p w14:paraId="5C29D98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其中：</w:t>
      </w:r>
    </w:p>
    <w:p w14:paraId="0FDE5B9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- Current_Gold_Coverage_Ratio = (黄金储备市值 × 1.25) / XTZH总流通市值</w:t>
      </w:r>
    </w:p>
    <w:p w14:paraId="5FA8E38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- 当覆盖率=1.0（刚好达标）时，因子=0.99，轻微提升XTZH价格，鼓励储备积累。</w:t>
      </w:r>
    </w:p>
    <w:p w14:paraId="1EF1F389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  - 当覆盖率=2.0（双倍达标）时，因子=1.01，轻微降低XTZH价格，释放储备压力。</w:t>
      </w:r>
    </w:p>
    <w:p w14:paraId="181AEA4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- 该因子将XTZH价格与系统整体健康度软性挂钩，增强系统韧性。</w:t>
      </w:r>
    </w:p>
    <w:p w14:paraId="28B81B6A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第二章：AI资产估值系统法典——万物的链上定价</w:t>
      </w:r>
    </w:p>
    <w:p w14:paraId="3407DA4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2.1 估值输入：GNACS Pro分类驱动</w:t>
      </w:r>
    </w:p>
    <w:p w14:paraId="4F1D218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估值逻辑起点：资产的30位GNACS Pro编码。</w:t>
      </w:r>
    </w:p>
    <w:p w14:paraId="0C8C4B4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编码解析 -&gt; 确定资产大类 -&gt; 匹配预设估值模型套件与参数。</w:t>
      </w:r>
    </w:p>
    <w:p w14:paraId="45889A3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2.2 基于GNACS的估值模型矩阵（豆包AI驱动）</w:t>
      </w:r>
    </w:p>
    <w:p w14:paraId="0CAEB75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# 物理资产估值（第1-6位决定主模型）</w:t>
      </w:r>
    </w:p>
    <w:p w14:paraId="03E1D000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A. 不动产（编码段映射）:</w:t>
      </w:r>
    </w:p>
    <w:p w14:paraId="2BA7DFC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土地(01-05): 基准地价法 × 微观区位系数 × 规划因子。AI通过卫星图像、周边交易数据校准。</w:t>
      </w:r>
    </w:p>
    <w:p w14:paraId="40DDAEF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住宅建筑(06): 成本法（重建成本-折旧）+ 市场比较法（同小区成交）。AI从房产平台爬取数据。</w:t>
      </w:r>
    </w:p>
    <w:p w14:paraId="57920FE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商业建筑(07): 收益法（净运营收入NOI/资本化率Cap Rate）。AI分析租赁合同与市场租金。</w:t>
      </w:r>
    </w:p>
    <w:p w14:paraId="0EDD10B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66912EF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B. 动产与设备:</w:t>
      </w:r>
    </w:p>
    <w:p w14:paraId="2E005113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通用设备(30-35): 重置成本法，折旧率根据GNACS第22位（时间属性）确定。</w:t>
      </w:r>
    </w:p>
    <w:p w14:paraId="790C3031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运输工具(80-85): 二手车市场比价法。AI接入二手车平台API，根据车况(VIN码历史)、里程、型号调整。</w:t>
      </w:r>
    </w:p>
    <w:p w14:paraId="5C59FF0E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大宗商品(10-15): 期货价格现货折算，扣除仓储、运输成本。</w:t>
      </w:r>
    </w:p>
    <w:p w14:paraId="168BF60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7E933AEE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C. 金融资产估值:</w:t>
      </w:r>
    </w:p>
    <w:p w14:paraId="138CB7B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债券(编码段映射): 现金流折现法（DCF），折现率参考同评级债券收益率曲线。</w:t>
      </w:r>
    </w:p>
    <w:p w14:paraId="2472761E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非上市公司股权: 可比公司法（PE/PB/PS）。AI筛选同行业、同规模上市公司数据。</w:t>
      </w:r>
    </w:p>
    <w:p w14:paraId="34B2D3E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应收账款: 账面价值 × 账龄折扣系数 × 债务人信用评分（AI接入征信数据）。</w:t>
      </w:r>
    </w:p>
    <w:p w14:paraId="4DD4555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68705EC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D. 数字资产估值（GNACS 9900系列）:</w:t>
      </w:r>
    </w:p>
    <w:p w14:paraId="7E2A7CE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加密货币(9901): 市场法（多个交易所VWAP）+ 网络价值法（NVT比率）。</w:t>
      </w:r>
    </w:p>
    <w:p w14:paraId="2830A8C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实用型代币(9902): 现金流折现法（预测协议未来手续费）。</w:t>
      </w:r>
    </w:p>
    <w:p w14:paraId="56FDC7F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证券型代币(9903): 完全映射底层RWA资产价值。</w:t>
      </w:r>
    </w:p>
    <w:p w14:paraId="1A3AC83A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  - NFT(9906-9908): 稀有度算法评分 + 社区共识加权 + 流动性溢价/折价。</w:t>
      </w:r>
    </w:p>
    <w:p w14:paraId="253D44C7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48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6A08C28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2.3 估值流程与链上锚定</w:t>
      </w:r>
    </w:p>
    <w:p w14:paraId="2DD4167D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1. 启动估值:</w:t>
      </w:r>
    </w:p>
    <w:p w14:paraId="264FC51A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输入：资产GNACS编码 + 所有权证明哈希 + 特定资产数据包（如房型图、设备序列号、财务报表）。</w:t>
      </w:r>
    </w:p>
    <w:p w14:paraId="584B88D1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触发：上链申请、定期重估、交易前、争议解决。</w:t>
      </w:r>
    </w:p>
    <w:p w14:paraId="47DE545C">
      <w:pPr>
        <w:rPr>
          <w:rFonts w:hint="eastAsia"/>
          <w:b w:val="0"/>
          <w:bCs/>
          <w:sz w:val="21"/>
          <w:szCs w:val="21"/>
        </w:rPr>
      </w:pPr>
    </w:p>
    <w:p w14:paraId="12D505C4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2. AI多模型协同估值:</w:t>
      </w:r>
    </w:p>
    <w:p w14:paraId="3800FD97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主模型：根据GNACS编码调用。</w:t>
      </w:r>
    </w:p>
    <w:p w14:paraId="111F4C51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辅助验证模型：调用1-2个其他类型模型进行交叉验证（例如，不动产同时用成本法和收益法）。</w:t>
      </w:r>
    </w:p>
    <w:p w14:paraId="706D26E3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豆包AI仲裁：若模型结果差异&gt;15%，由豆包AI的元模型分析差异原因，给出最终估值并附解释报告。</w:t>
      </w:r>
    </w:p>
    <w:p w14:paraId="44354A87">
      <w:pPr>
        <w:rPr>
          <w:rFonts w:hint="eastAsia"/>
          <w:b w:val="0"/>
          <w:bCs/>
          <w:sz w:val="21"/>
          <w:szCs w:val="21"/>
        </w:rPr>
      </w:pPr>
    </w:p>
    <w:p w14:paraId="33A8B7CA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3. 输出与链上锚定:</w:t>
      </w:r>
    </w:p>
    <w:p w14:paraId="76D7F664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核心输出：`Asset_Value_In_XTZH`（资产价值，单位为XTZH个数）。</w:t>
      </w:r>
    </w:p>
    <w:p w14:paraId="3573029D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示例：AI估值某房产值 1,000,000 XTZH。</w:t>
      </w:r>
    </w:p>
    <w:p w14:paraId="04A3EB00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此时，XTZH基准价格为 1.05 USD。</w:t>
      </w:r>
    </w:p>
    <w:p w14:paraId="536796BE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则该房产链上法币价值为：1,000,000 XTZH × 1.05 USD/XTZH = 1,050,000 USD。</w:t>
      </w:r>
    </w:p>
    <w:p w14:paraId="370C33F8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- 链上记录：</w:t>
      </w:r>
    </w:p>
    <w:p w14:paraId="47FA8096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  * ACC-20资产合约中：`AppraisedValue = 1,000,000 XTZH`</w:t>
      </w:r>
    </w:p>
    <w:p w14:paraId="4A7BCB48">
      <w:pPr>
        <w:rPr>
          <w:rFonts w:hint="eastAsia"/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     * `ValuationBasis = IPFS_CID`（指向包含模型、参数、数据的完整报告）</w:t>
      </w:r>
    </w:p>
    <w:p w14:paraId="1BBD0BFB">
      <w:pPr>
        <w:rPr>
          <w:rFonts w:hint="eastAsia"/>
          <w:b w:val="0"/>
          <w:bCs/>
          <w:sz w:val="21"/>
          <w:szCs w:val="21"/>
        </w:rPr>
      </w:pPr>
    </w:p>
    <w:p w14:paraId="700DF607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第三章：黄金储备联动与系统稳定法典</w:t>
      </w:r>
    </w:p>
    <w:p w14:paraId="5C514C2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3.1 双重锚定下的质押与铸造规则</w:t>
      </w:r>
    </w:p>
    <w:p w14:paraId="664670B5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资产上链铸造XTZH流程：</w:t>
      </w:r>
    </w:p>
    <w:p w14:paraId="3374E72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1. 资产经AI估值，得出价值 V_XTZH（单位：XTZH个数）。</w:t>
      </w:r>
    </w:p>
    <w:p w14:paraId="6963477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2. 根据资产GNACS风险权重（第7-8位）确定其质押率 L（Loan-to-Value Ratio）。</w:t>
      </w:r>
    </w:p>
    <w:p w14:paraId="306EBA47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- 0%风险权重资产: L_max = 90%</w:t>
      </w:r>
    </w:p>
    <w:p w14:paraId="07048A4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- 20%风险权重资产: L_max = 80%</w:t>
      </w:r>
    </w:p>
    <w:p w14:paraId="3AEDEFC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- 50%风险权重资产: L_max = 70%</w:t>
      </w:r>
    </w:p>
    <w:p w14:paraId="63AB751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- 100%+风险权重资产: L_max = 50%</w:t>
      </w:r>
    </w:p>
    <w:p w14:paraId="36122C2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3. 该资产可铸造的XTZH数量 = V_XTZH × L。</w:t>
      </w:r>
    </w:p>
    <w:p w14:paraId="37A78CAC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4. 铸造的XTZH直接进入所有者地址，同时系统在链下通过合规经纪商，建立价值为 (V_XTZH × L × 1.25 × XTZH_Price_USD) 的黄金永续合约多头持仓。</w:t>
      </w:r>
    </w:p>
    <w:p w14:paraId="410ED56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5. 此过程在链上记录，形成“资产-铸造XTZH-黄金持仓”的三角锚定关系。</w:t>
      </w:r>
    </w:p>
    <w:p w14:paraId="1B3884CF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3.2 动态再平衡与风险缓冲机制</w:t>
      </w:r>
    </w:p>
    <w:p w14:paraId="0933CCB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监控指标：</w:t>
      </w:r>
    </w:p>
    <w:p w14:paraId="1AA33C54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- 资产覆盖率（ACR）: 所有RWA资产总估值(V_XTZH总和) / XTZH总流通量。 目标 &gt; 1.0。</w:t>
      </w:r>
    </w:p>
    <w:p w14:paraId="2723E9F3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- 黄金储备覆盖率（GCR）: (黄金持仓市值 × 1.25) / XTZH总流通市值。 目标 ≥ 1.0。</w:t>
      </w:r>
    </w:p>
    <w:p w14:paraId="10D4FCE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</w:p>
    <w:p w14:paraId="199D975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再平衡触发：</w:t>
      </w:r>
    </w:p>
    <w:p w14:paraId="2732606C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1. 日常微调：每日收盘后计算GCR。</w:t>
      </w:r>
    </w:p>
    <w:p w14:paraId="427C41BE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若 GCR &gt; 1.1: 缓慢减持黄金（每日≤5%），释放资金。</w:t>
      </w:r>
    </w:p>
    <w:p w14:paraId="153C995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若 GCR &lt; 1.0: 立即补足至1.25倍，资金来自风险准备金或新增铸造费。</w:t>
      </w:r>
    </w:p>
    <w:p w14:paraId="60158A57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2. 极端市场保护：</w:t>
      </w:r>
    </w:p>
    <w:p w14:paraId="6E901CAD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- 若 XTZH价格（相对于USD）在24小时内下跌超过5%：</w:t>
      </w:r>
    </w:p>
    <w:p w14:paraId="7E2CDBC7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    a. 暂停高于50%质押率的新资产铸造。</w:t>
      </w:r>
    </w:p>
    <w:p w14:paraId="1FDAB716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    b. 公开所有高质押率资产的详细估值报告与审计状态。</w:t>
      </w:r>
    </w:p>
    <w:p w14:paraId="469D181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      c. 启动治理紧急投票，决定是否启用额外稳定措施。</w:t>
      </w:r>
    </w:p>
    <w:p w14:paraId="5C4B068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3.3 风险准备金与最后防线</w:t>
      </w:r>
    </w:p>
    <w:p w14:paraId="63AC8C03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准备金来源：</w:t>
      </w:r>
    </w:p>
    <w:p w14:paraId="0188680E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- XTZH交易手续费的50%。</w:t>
      </w:r>
    </w:p>
    <w:p w14:paraId="1363A48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- 资产估值能耗（XIC）费用的10%。</w:t>
      </w:r>
    </w:p>
    <w:p w14:paraId="7584CB1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- 黄金永续合约正收益的20%。</w:t>
      </w:r>
    </w:p>
    <w:p w14:paraId="016E728E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</w:p>
    <w:p w14:paraId="5076233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准备金用途：</w:t>
      </w:r>
    </w:p>
    <w:p w14:paraId="23BF60C7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1. 弥补黄金合约的短期盯市亏损。</w:t>
      </w:r>
    </w:p>
    <w:p w14:paraId="18D16D5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2. 为争议估值中的错误进行赔偿。</w:t>
      </w:r>
    </w:p>
    <w:p w14:paraId="6CE2981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3. 在极端情况下回购XTZH以支持价格。</w:t>
      </w:r>
    </w:p>
    <w:p w14:paraId="05A8AEE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4. 目标规模：XTZH总市值的3-5%。</w:t>
      </w:r>
    </w:p>
    <w:p w14:paraId="2C25A437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</w:p>
    <w:p w14:paraId="43735CC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>最后防线（宪法熔断）：</w:t>
      </w:r>
    </w:p>
    <w:p w14:paraId="0A62CD0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如果同时满足：</w:t>
      </w:r>
    </w:p>
    <w:p w14:paraId="4180945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(1) XTZH价格跌破0.95 USD持续24小时；</w:t>
      </w:r>
    </w:p>
    <w:p w14:paraId="482CF1BF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(2) GCR &lt; 0.9；</w:t>
      </w:r>
    </w:p>
    <w:p w14:paraId="4941D43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(3) ACR &lt; 0.8。</w:t>
      </w:r>
    </w:p>
    <w:p w14:paraId="79A9144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则系统自动触发：</w:t>
      </w:r>
    </w:p>
    <w:p w14:paraId="20A6143D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- 所有资产质押率上限临时下调20%。</w:t>
      </w:r>
    </w:p>
    <w:p w14:paraId="5BDAF37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/>
        <w:rPr>
          <w:rFonts w:hint="eastAsia"/>
        </w:rPr>
      </w:pPr>
      <w:r>
        <w:rPr>
          <w:rFonts w:hint="eastAsia"/>
        </w:rPr>
        <w:t xml:space="preserve">    - 启动“有序清算”程序，按预设优先顺序将部分RWA资产通过OTC市场出售，换取黄金或稳定币。</w:t>
      </w:r>
    </w:p>
    <w:p w14:paraId="1C137BB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- 此过程完全由智能合约执行，优先保护XTZH持有者。</w:t>
      </w:r>
    </w:p>
    <w:p w14:paraId="196F3E1A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第四章：估值治理、透明度与能耗法典</w:t>
      </w:r>
    </w:p>
    <w:p w14:paraId="59C4BA85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4.1 治理：参数控制与模型进化</w:t>
      </w:r>
    </w:p>
    <w:p w14:paraId="038C8E2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需XIC治理投票的宪法级参数：</w:t>
      </w:r>
    </w:p>
    <w:p w14:paraId="64B013A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1. XTZH定价篮子中三类的总权重（当前40%/50%/10%）。</w:t>
      </w:r>
    </w:p>
    <w:p w14:paraId="263488BD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2. 18种商品的具体种类及子权重。</w:t>
      </w:r>
    </w:p>
    <w:p w14:paraId="01BAD366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3. 各GNACS大类资产对应的主估值模型指定。</w:t>
      </w:r>
    </w:p>
    <w:p w14:paraId="60F7F19D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4. 不同风险权重资产的质押率上限标准。</w:t>
      </w:r>
    </w:p>
    <w:p w14:paraId="2FD95E0B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5. 系统各项手续费（铸造、交易、估值）的费率。</w:t>
      </w:r>
    </w:p>
    <w:p w14:paraId="35E408AC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</w:p>
    <w:p w14:paraId="6C225BAC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模型升级与淘汰：</w:t>
      </w:r>
    </w:p>
    <w:p w14:paraId="28D5436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每个估值模型都有“押金”和“表现记录”。</w:t>
      </w:r>
    </w:p>
    <w:p w14:paraId="1A89C02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季度评估：模型估值结果与资产后续实际交易价格的偏差。</w:t>
      </w:r>
    </w:p>
    <w:p w14:paraId="6BFCF88E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连续两个季度表现垫底的模型，进入淘汰观察期。</w:t>
      </w:r>
    </w:p>
    <w:p w14:paraId="391F37BD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社区可以发起提案，用更优的新模型（需通过安全审计和回测）替换旧模型。</w:t>
      </w:r>
    </w:p>
    <w:p w14:paraId="26EFAF8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4.2 全链路透明度与可审计性</w:t>
      </w:r>
    </w:p>
    <w:p w14:paraId="7540904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七层可验证：</w:t>
      </w:r>
    </w:p>
    <w:p w14:paraId="7DE3BD2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1. 输入数据可验：所有外部数据（价格、汇率）提供预言机签名和时间戳。</w:t>
      </w:r>
    </w:p>
    <w:p w14:paraId="014D3D66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2. GNACS编码可验：编码与资产实物/法律文件通过DNA哈希绑定。</w:t>
      </w:r>
    </w:p>
    <w:p w14:paraId="3AED0E23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3. 模型可验：模型代码哈希和版本号在链上注册。</w:t>
      </w:r>
    </w:p>
    <w:p w14:paraId="4CB29D14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4. 计算过程可验：关键计算步骤的中间结果生成默克尔证明。</w:t>
      </w:r>
    </w:p>
    <w:p w14:paraId="2B99BA12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5. 输出结果可验：估值报告（含所有输入、参数、计算逻辑）存入IPFS，哈希上链。</w:t>
      </w:r>
    </w:p>
    <w:p w14:paraId="778B7DC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6. 价格影响可溯：XTZH定价的每秒成分价格可查询。</w:t>
      </w:r>
    </w:p>
    <w:p w14:paraId="79A3B3B6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7. 储备状态可查：黄金持仓的合约地址、数量、市值实时公开。</w:t>
      </w:r>
    </w:p>
    <w:p w14:paraId="472F064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4.3 能耗经济（XIC）闭环</w:t>
      </w:r>
    </w:p>
    <w:p w14:paraId="3157FF25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能耗场景与计费：</w:t>
      </w:r>
    </w:p>
    <w:p w14:paraId="2C40F2D9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1. XTZH定价计算（每秒）：消耗基础能源 0.001 XIC/次。</w:t>
      </w:r>
    </w:p>
    <w:p w14:paraId="1937E8D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2. 资产AI估值：</w:t>
      </w:r>
    </w:p>
    <w:p w14:paraId="71A4B49A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    - 简易估值（单一模型）：0.1 XIC + (资产估值XTZH数 × 0.00001) XIC</w:t>
      </w:r>
    </w:p>
    <w:p w14:paraId="048C71E1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    - 全面估值（多模型+仲裁）：1.0 XIC + (资产估值XTZH数 × 0.0001) XIC</w:t>
      </w:r>
    </w:p>
    <w:p w14:paraId="06D2ABBF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3. 黄金储备调仓操作：按调整金额的0.1%消耗XIC。</w:t>
      </w:r>
    </w:p>
    <w:p w14:paraId="28A9B5CE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</w:p>
    <w:p w14:paraId="75450C54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>能量循环：</w:t>
      </w:r>
    </w:p>
    <w:p w14:paraId="20A60A10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消耗的XIC，50%销毁，50%注入“验证节点与生态激励池”。</w:t>
      </w:r>
    </w:p>
    <w:p w14:paraId="3A04AE9B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质押XIC的验证节点，负责对估值输入数据和定价计算进行抽样验证，获取激励。</w:t>
      </w:r>
    </w:p>
    <w:p w14:paraId="6E8F4668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Fonts w:hint="eastAsia"/>
        </w:rPr>
      </w:pPr>
      <w:r>
        <w:rPr>
          <w:rFonts w:hint="eastAsia"/>
        </w:rPr>
        <w:t xml:space="preserve">  - 此举将系统安全、估值质量与XIC价值深度绑定。</w:t>
      </w:r>
    </w:p>
    <w:p w14:paraId="7CCAF455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结语：构建数字经济的三位一体价值基座</w:t>
      </w:r>
    </w:p>
    <w:p w14:paraId="40C6DD9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NAC公链通过本宪法，确立了数字时代价值体系的“三位一体”架构：</w:t>
      </w:r>
    </w:p>
    <w:p w14:paraId="2E20450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XTZH定价系统为“尺”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：一个由全球硬通货、民生商品与黄金共同定义的、相对稳定的价值尺度，是链上经济活动的计价基准。</w:t>
      </w:r>
    </w:p>
    <w:p w14:paraId="6B3D068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AI资产估值系统为“量”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：一个基于全球标准（GNACS）、由先进AI驱动的自动化、专业化资产评估网络，负责将万物价值以XTZH为单位“翻译”到链上。</w:t>
      </w:r>
    </w:p>
    <w:p w14:paraId="53F73F9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黄金储备联动系统为“锚”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：一个基于超额抵押和动态再平衡的金融工程机制，为XTZH的价值提供终极稳定性背书和风险缓冲。</w:t>
      </w:r>
    </w:p>
    <w:p w14:paraId="5184AEC8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这三大系统相互独立，又通过智能合约精密耦合：</w:t>
      </w:r>
    </w:p>
    <w:p w14:paraId="05CE1E1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XTZH的价格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不随单一资产估值波动，避免了成为“妖怪”。</w:t>
      </w:r>
    </w:p>
    <w:p w14:paraId="68893E0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资产的价值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以XTZH度量，获得了全球流动性和可比性。</w:t>
      </w:r>
    </w:p>
    <w:p w14:paraId="7A8013F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黄金储备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作为最后防线，守护着整个价值体系的信心底线。</w:t>
      </w:r>
    </w:p>
    <w:p w14:paraId="6FF8C8B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至此，我们终于回答了那个根本问题：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如何将线下纷繁复杂、价值不一的真实资产，无损地映射到一个统一、稳定、可信的链上数字世界中？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本宪法提供的，正是这一宏大叙事的终极解决方案。</w:t>
      </w:r>
    </w:p>
    <w:p w14:paraId="495E44EC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NAC公链AI估值系统法典（重构终极版）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版本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: v2.0-终极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生效日期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: 待治理投票通过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核心信条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: 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尺度恒定，方可丈量万物；估值公允，方能承载财富。</w:t>
      </w:r>
    </w:p>
    <w:p w14:paraId="7E465A45">
      <w:pPr>
        <w:keepNext w:val="0"/>
        <w:keepLines w:val="0"/>
        <w:widowControl/>
        <w:numPr>
          <w:numId w:val="0"/>
        </w:numPr>
        <w:suppressLineNumbers w:val="0"/>
        <w:spacing w:before="90" w:beforeAutospacing="0" w:after="0" w:afterAutospacing="1"/>
        <w:ind w:left="-360" w:leftChars="0" w:firstLine="420"/>
        <w:rPr>
          <w:rStyle w:val="8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这不仅仅是一套系统，而是为万亿级RWA资产搭建的，通往数字文明彼岸的坚实地基。</w:t>
      </w:r>
      <w:bookmarkStart w:id="0" w:name="_GoBack"/>
      <w:bookmarkEnd w:id="0"/>
    </w:p>
    <w:p w14:paraId="0E0748F1">
      <w:pPr>
        <w:numPr>
          <w:numId w:val="0"/>
        </w:numPr>
        <w:jc w:val="left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BBA58B"/>
    <w:multiLevelType w:val="singleLevel"/>
    <w:tmpl w:val="F3BBA5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B9EFB17"/>
    <w:multiLevelType w:val="singleLevel"/>
    <w:tmpl w:val="FB9EFB1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F9DF76B"/>
    <w:multiLevelType w:val="multilevel"/>
    <w:tmpl w:val="FF9DF7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15F4FA79"/>
    <w:multiLevelType w:val="singleLevel"/>
    <w:tmpl w:val="15F4FA7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1CFE0D50"/>
    <w:multiLevelType w:val="multilevel"/>
    <w:tmpl w:val="1CFE0D5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1F737C73"/>
    <w:multiLevelType w:val="multilevel"/>
    <w:tmpl w:val="1F737C7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2F2AB31C"/>
    <w:multiLevelType w:val="singleLevel"/>
    <w:tmpl w:val="2F2AB31C"/>
    <w:lvl w:ilvl="0" w:tentative="0">
      <w:start w:val="4"/>
      <w:numFmt w:val="decimal"/>
      <w:suff w:val="space"/>
      <w:lvlText w:val="%1."/>
      <w:lvlJc w:val="left"/>
    </w:lvl>
  </w:abstractNum>
  <w:abstractNum w:abstractNumId="7">
    <w:nsid w:val="6B33520B"/>
    <w:multiLevelType w:val="singleLevel"/>
    <w:tmpl w:val="6B33520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7C8D3B72"/>
    <w:multiLevelType w:val="singleLevel"/>
    <w:tmpl w:val="7C8D3B7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7E69408F"/>
    <w:multiLevelType w:val="multilevel"/>
    <w:tmpl w:val="7E69408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8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90EE7"/>
    <w:rsid w:val="74F9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2026-01-19T01:21:00Z</dcterms:created>
  <dc:creator>无为天下</dc:creator>
  <cp:lastModifiedBy>无为天下</cp:lastModifiedBy>
  <dcterms:modified xsi:type="dcterms:W3CDTF">2026-01-19T02:24:30Z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F651AF322CFB4171B159968F794E0ADB_11</vt:lpwstr>
  </property>
  <property fmtid="{D5CDD505-2E9C-101B-9397-08002B2CF9AE}" pid="4" name="KSOTemplateDocerSaveRecord">
    <vt:lpwstr>eyJoZGlkIjoiNmFjOWIxM2U1OTBhMmUxOWFjOGRhN2RhN2ZjZTg3NTciLCJ1c2VySWQiOiIyMjU5MDI5MDkifQ==</vt:lpwstr>
  </property>
</Properties>
</file>