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数字资产封装上链指引（NAC原生公链合规版）V1.0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指引说明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本指引旨在为将外部区块链（如比特币、以太坊）及链下金融资产（如对冲基金份额、私募股权）通过合规与技术手段 </w:t>
      </w:r>
      <w:r>
        <w:rPr>
          <w:rFonts w:eastAsia="等线" w:ascii="Arial" w:cs="Arial" w:hAnsi="Arial"/>
          <w:b w:val="true"/>
          <w:sz w:val="22"/>
        </w:rPr>
        <w:t>“封装”</w:t>
      </w:r>
      <w:r>
        <w:rPr>
          <w:rFonts w:eastAsia="等线" w:ascii="Arial" w:cs="Arial" w:hAnsi="Arial"/>
          <w:sz w:val="22"/>
        </w:rPr>
        <w:t xml:space="preserve"> 为NAC原生资产提供标准化框架。其核心在于：</w:t>
      </w:r>
      <w:r>
        <w:rPr>
          <w:rFonts w:eastAsia="等线" w:ascii="Arial" w:cs="Arial" w:hAnsi="Arial"/>
          <w:b w:val="true"/>
          <w:sz w:val="22"/>
        </w:rPr>
        <w:t>构建一个由XTZH超额抵押、去中心化预言机与原生合规协议保障的“资产走廊”，使外部资产能够在NAC生态内以受监管、可编程、具备资本效率的形式安全流通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第一章：NAC原生框架下的封装总则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第1条 封装核心范式：从“映射”到“主权铸造”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在NAC公链上，封装不是简单的跨链资产1:1映射，而是 </w:t>
      </w:r>
      <w:r>
        <w:rPr>
          <w:rFonts w:eastAsia="等线" w:ascii="Arial" w:cs="Arial" w:hAnsi="Arial"/>
          <w:b w:val="true"/>
          <w:sz w:val="22"/>
        </w:rPr>
        <w:t>“基于超额抵押的链上原生主权资产发行”</w:t>
      </w:r>
      <w:r>
        <w:rPr>
          <w:rFonts w:eastAsia="等线" w:ascii="Arial" w:cs="Arial" w:hAnsi="Arial"/>
          <w:sz w:val="22"/>
        </w:rPr>
        <w:t>。这意味着：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价值由XTZH背书</w:t>
      </w:r>
      <w:r>
        <w:rPr>
          <w:rFonts w:eastAsia="等线" w:ascii="Arial" w:cs="Arial" w:hAnsi="Arial"/>
          <w:sz w:val="22"/>
        </w:rPr>
        <w:t>：每一个封装代币（如nBTC、nETH）的背后，都由托管方或去中心化网络超额质押的NAC原生代币（</w:t>
      </w:r>
      <w:r>
        <w:rPr>
          <w:rFonts w:eastAsia="等线" w:ascii="Arial" w:cs="Arial" w:hAnsi="Arial"/>
          <w:b w:val="true"/>
          <w:sz w:val="22"/>
        </w:rPr>
        <w:t>XTZH</w:t>
      </w:r>
      <w:r>
        <w:rPr>
          <w:rFonts w:eastAsia="等线" w:ascii="Arial" w:cs="Arial" w:hAnsi="Arial"/>
          <w:sz w:val="22"/>
        </w:rPr>
        <w:t>）作为最终偿付保障，而非完全依赖外部链资产储备的诚实性。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主权由NAC定义</w:t>
      </w:r>
      <w:r>
        <w:rPr>
          <w:rFonts w:eastAsia="等线" w:ascii="Arial" w:cs="Arial" w:hAnsi="Arial"/>
          <w:sz w:val="22"/>
        </w:rPr>
        <w:t xml:space="preserve">：封装资产是NAC链上新生的、独立的 </w:t>
      </w:r>
      <w:r>
        <w:rPr>
          <w:rFonts w:eastAsia="Consolas" w:ascii="Consolas" w:cs="Consolas" w:hAnsi="Consolas"/>
          <w:b w:val="true"/>
          <w:sz w:val="22"/>
          <w:shd w:fill="EFF0F1"/>
        </w:rPr>
        <w:t>C0</w:t>
      </w:r>
      <w:r>
        <w:rPr>
          <w:rFonts w:eastAsia="等线" w:ascii="Arial" w:cs="Arial" w:hAnsi="Arial"/>
          <w:b w:val="true"/>
          <w:sz w:val="22"/>
        </w:rPr>
        <w:t>（有条件所有权）</w:t>
      </w:r>
      <w:r>
        <w:rPr>
          <w:rFonts w:eastAsia="等线" w:ascii="Arial" w:cs="Arial" w:hAnsi="Arial"/>
          <w:sz w:val="22"/>
        </w:rPr>
        <w:t xml:space="preserve"> 资产。其赎回权、收益权等规则由NAC智能合约定义，并受《主权规则法典》约束。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身份由GNACS标识</w:t>
      </w:r>
      <w:r>
        <w:rPr>
          <w:rFonts w:eastAsia="等线" w:ascii="Arial" w:cs="Arial" w:hAnsi="Arial"/>
          <w:sz w:val="22"/>
        </w:rPr>
        <w:t xml:space="preserve">：封装资产获得独立的GNACS编码（如 </w:t>
      </w:r>
      <w:r>
        <w:rPr>
          <w:rFonts w:eastAsia="Consolas" w:ascii="Consolas" w:cs="Consolas" w:hAnsi="Consolas"/>
          <w:sz w:val="22"/>
          <w:shd w:fill="EFF0F1"/>
        </w:rPr>
        <w:t>9901XX</w:t>
      </w:r>
      <w:r>
        <w:rPr>
          <w:rFonts w:eastAsia="等线" w:ascii="Arial" w:cs="Arial" w:hAnsi="Arial"/>
          <w:sz w:val="22"/>
        </w:rPr>
        <w:t xml:space="preserve"> 衍生类别），明确其底层资产类型、风险来源（如“托管风险权重”）及合规状态。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功能由ACC协议扩展</w:t>
      </w:r>
      <w:r>
        <w:rPr>
          <w:rFonts w:eastAsia="等线" w:ascii="Arial" w:cs="Arial" w:hAnsi="Arial"/>
          <w:sz w:val="22"/>
        </w:rPr>
        <w:t>：封装资产继承ACC-20标准，并可通过附加模块获得生息、杠杆、合规交易等原生功能，超越其底层资产的原生能力。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第2条 核心支柱</w:t>
      </w:r>
      <w:bookmarkEnd w:id="3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双重抵押模型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基础抵押品</w:t>
      </w:r>
      <w:r>
        <w:rPr>
          <w:rFonts w:eastAsia="等线" w:ascii="Arial" w:cs="Arial" w:hAnsi="Arial"/>
          <w:sz w:val="22"/>
        </w:rPr>
        <w:t>：目标资产（如BTC、ETH）被锁定在源头链的智能合约或受监管托管机构。</w:t>
      </w:r>
    </w:p>
    <w:p>
      <w:pPr>
        <w:numPr>
          <w:numId w:val="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风险缓冲抵押品</w:t>
      </w:r>
      <w:r>
        <w:rPr>
          <w:rFonts w:eastAsia="等线" w:ascii="Arial" w:cs="Arial" w:hAnsi="Arial"/>
          <w:sz w:val="22"/>
        </w:rPr>
        <w:t xml:space="preserve">：在NAC链上，封装服务商必须根据GNACS风险权重，额外质押一定比例的 </w:t>
      </w:r>
      <w:r>
        <w:rPr>
          <w:rFonts w:eastAsia="等线" w:ascii="Arial" w:cs="Arial" w:hAnsi="Arial"/>
          <w:b w:val="true"/>
          <w:sz w:val="22"/>
        </w:rPr>
        <w:t>XTZH</w:t>
      </w:r>
      <w:r>
        <w:rPr>
          <w:rFonts w:eastAsia="等线" w:ascii="Arial" w:cs="Arial" w:hAnsi="Arial"/>
          <w:sz w:val="22"/>
        </w:rPr>
        <w:t>。此举旨在吸收源头链智能合约漏洞、托管方作恶、跨链桥攻击等风险。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去中心化验证者委员会与预言机</w:t>
      </w:r>
      <w:r>
        <w:rPr>
          <w:rFonts w:eastAsia="等线" w:ascii="Arial" w:cs="Arial" w:hAnsi="Arial"/>
          <w:sz w:val="22"/>
        </w:rPr>
        <w:t>：由NAC治理选举产生的、质押了XTZH的验证者节点网络，负责监控源头链的资产锁定状态，并以多重签名方式授权NAC链上的封装资产铸造与销毁。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动态风险权重与质押率调整引擎</w:t>
      </w:r>
      <w:r>
        <w:rPr>
          <w:rFonts w:eastAsia="等线" w:ascii="Arial" w:cs="Arial" w:hAnsi="Arial"/>
          <w:sz w:val="22"/>
        </w:rPr>
        <w:t>：根据底层资产波动性、托管方信誉评级、跨链桥安全事件等数据，通过链上治理或自动化预言机，动态调整该封装资产系列的GNACS风险权重及所需的XTZH超额质押率。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合规层封装协议（ACC-1400）</w:t>
      </w:r>
      <w:r>
        <w:rPr>
          <w:rFonts w:eastAsia="等线" w:ascii="Arial" w:cs="Arial" w:hAnsi="Arial"/>
          <w:sz w:val="22"/>
        </w:rPr>
        <w:t>：所有封装资产默认集成NAC原生合规协议，支持基于身份的转让限制、税收报告、监管名单筛查等功能。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第二章：封装架构与参与方</w:t>
      </w:r>
      <w:bookmarkEnd w:id="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第3条 系统架构与数据流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下图描绘了从外部资产锁定到NAC链上封装资产流通的完整技术流程与参与方角色：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  <w:shd w:fill="dee0e3"/>
        </w:rPr>
        <w:t>[流程图暂不支持下载]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第4条 关键参与方职责</w:t>
      </w:r>
      <w:bookmarkEnd w:id="6"/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验证者委员会</w:t>
      </w:r>
      <w:r>
        <w:rPr>
          <w:rFonts w:eastAsia="等线" w:ascii="Arial" w:cs="Arial" w:hAnsi="Arial"/>
          <w:sz w:val="22"/>
        </w:rPr>
        <w:t xml:space="preserve">：作为 </w:t>
      </w:r>
      <w:r>
        <w:rPr>
          <w:rFonts w:eastAsia="Consolas" w:ascii="Consolas" w:cs="Consolas" w:hAnsi="Consolas"/>
          <w:sz w:val="22"/>
          <w:shd w:fill="EFF0F1"/>
        </w:rPr>
        <w:t>B3</w:t>
      </w:r>
      <w:r>
        <w:rPr>
          <w:rFonts w:eastAsia="等线" w:ascii="Arial" w:cs="Arial" w:hAnsi="Arial"/>
          <w:sz w:val="22"/>
        </w:rPr>
        <w:t>（管理权-验证职能）的行使者，负责监控源头链状态。其核心收入为封装/赎回手续费，但其质押的XTZH会因错误签名或恶意行为而被罚没。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封装服务商/托管方</w:t>
      </w:r>
      <w:r>
        <w:rPr>
          <w:rFonts w:eastAsia="等线" w:ascii="Arial" w:cs="Arial" w:hAnsi="Arial"/>
          <w:sz w:val="22"/>
        </w:rPr>
        <w:t>：负责实际持有或管理底层资产。可以是受监管金融机构（承担法律合规责任）或去中心化多签合约（承担技术风险）。其信誉等级直接影响GNACS风险权重。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风险委员会（DAO）</w:t>
      </w:r>
      <w:r>
        <w:rPr>
          <w:rFonts w:eastAsia="等线" w:ascii="Arial" w:cs="Arial" w:hAnsi="Arial"/>
          <w:sz w:val="22"/>
        </w:rPr>
        <w:t>：由社区治理产生，负责设定和调整不同封装资产类别的GNACS风险权重参数、XTZH最低超额质押率。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流动性提供者与集成方</w:t>
      </w:r>
      <w:r>
        <w:rPr>
          <w:rFonts w:eastAsia="等线" w:ascii="Arial" w:cs="Arial" w:hAnsi="Arial"/>
          <w:sz w:val="22"/>
        </w:rPr>
        <w:t>：在NAC生态的DEX、借贷协议中为封装资产提供流动性，并开发收益增强产品。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第三章：标准封装流程（以封装比特币BTC为例）</w:t>
      </w:r>
      <w:bookmarkEnd w:id="7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第5条 全流程步骤</w:t>
      </w:r>
      <w:bookmarkEnd w:id="8"/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资格预审与服务商选择</w:t>
      </w:r>
      <w:r>
        <w:rPr>
          <w:rFonts w:eastAsia="等线" w:ascii="Arial" w:cs="Arial" w:hAnsi="Arial"/>
          <w:sz w:val="22"/>
        </w:rPr>
        <w:t>：</w:t>
        <w:br/>
        <w:t xml:space="preserve">       </w:t>
      </w:r>
    </w:p>
    <w:p>
      <w:pPr>
        <w:numPr>
          <w:numId w:val="1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用户选择由NAC治理“许可”的封装服务商列表中的一家。</w:t>
      </w:r>
    </w:p>
    <w:p>
      <w:pPr>
        <w:numPr>
          <w:numId w:val="1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该服务商的GNACS“监管合规”位（第11-12位）与“风险权重”位（第7-8位）公开可查。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锁定资产与生成证明</w:t>
      </w:r>
      <w:r>
        <w:rPr>
          <w:rFonts w:eastAsia="等线" w:ascii="Arial" w:cs="Arial" w:hAnsi="Arial"/>
          <w:sz w:val="22"/>
        </w:rPr>
        <w:t>：</w:t>
        <w:br/>
      </w:r>
    </w:p>
    <w:p>
      <w:pPr>
        <w:numPr>
          <w:numId w:val="1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用户将BTC发送至服务商在比特币网络公布的、经过审计的多签地址。</w:t>
      </w:r>
    </w:p>
    <w:p>
      <w:pPr>
        <w:numPr>
          <w:numId w:val="2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交易确认后，服务商（或去中心化守护程序）生成一条含BTC交易ID、金额、接收地址的“锁定证明”。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验证与铸造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验证者委员会成员监控到该“锁定证明”，并在指定时间窗口内使用其私钥进行签名。</w:t>
      </w:r>
    </w:p>
    <w:p>
      <w:pPr>
        <w:numPr>
          <w:numId w:val="2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当签名数超过阈值，该“授权签名包”被提交至NAC链上的 </w:t>
      </w:r>
      <w:r>
        <w:rPr>
          <w:rFonts w:eastAsia="Consolas" w:ascii="Consolas" w:cs="Consolas" w:hAnsi="Consolas"/>
          <w:sz w:val="22"/>
          <w:shd w:fill="EFF0F1"/>
        </w:rPr>
        <w:t>WrapperFactoryForBTCV1</w:t>
      </w:r>
      <w:r>
        <w:rPr>
          <w:rFonts w:eastAsia="等线" w:ascii="Arial" w:cs="Arial" w:hAnsi="Arial"/>
          <w:sz w:val="22"/>
        </w:rPr>
        <w:t xml:space="preserve"> 合约。</w:t>
      </w:r>
    </w:p>
    <w:p>
      <w:pPr>
        <w:numPr>
          <w:numId w:val="2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合约验证签名有效性后，执行核心逻辑：</w:t>
        <w:br/>
        <w:t xml:space="preserve">            </w:t>
      </w:r>
      <w:r>
        <w:rPr>
          <w:rFonts w:eastAsia="Consolas" w:ascii="Consolas" w:cs="Consolas" w:hAnsi="Consolas"/>
          <w:sz w:val="22"/>
          <w:shd w:fill="EFF0F1"/>
        </w:rPr>
        <w:t>function mintNFToken(address to, uint256 btcAmount) external onlyWithValidSignatures(signaturePackage) {</w:t>
        <w:br/>
        <w:t xml:space="preserve">    // 检查该服务商对应的XTZH风险缓冲池是否充足</w:t>
        <w:br/>
        <w:t xml:space="preserve">    uint256 requiredBuffering = btcAmount * getDynamicCollateralRatio(gnacsCode) / 100;</w:t>
        <w:br/>
        <w:t xml:space="preserve">    require(xtzhPool[serviceProvider] &gt;= requiredBuffering, "Insufficient XTZH buffer");</w:t>
        <w:br/>
        <w:t xml:space="preserve">    </w:t>
        <w:br/>
        <w:t xml:space="preserve">    // 计算并铸造封装代币数量（考虑汇率）</w:t>
        <w:br/>
        <w:t xml:space="preserve">    uint256 nbtcToMint = btcAmount * oracle.getBTCPrice() / 10**18;</w:t>
        <w:br/>
        <w:t xml:space="preserve">    _mint(to, nbtcToMint);</w:t>
        <w:br/>
        <w:t xml:space="preserve">    </w:t>
        <w:br/>
        <w:t xml:space="preserve">    emit AssetWrapped(serviceProvider, to, btcAmount, nbtcToMint);</w:t>
        <w:br/>
        <w:t>}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流通与收益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用户获得 </w:t>
      </w:r>
      <w:r>
        <w:rPr>
          <w:rFonts w:eastAsia="Consolas" w:ascii="Consolas" w:cs="Consolas" w:hAnsi="Consolas"/>
          <w:sz w:val="22"/>
          <w:shd w:fill="EFF0F1"/>
        </w:rPr>
        <w:t>nBTC</w:t>
      </w:r>
      <w:r>
        <w:rPr>
          <w:rFonts w:eastAsia="等线" w:ascii="Arial" w:cs="Arial" w:hAnsi="Arial"/>
          <w:sz w:val="22"/>
        </w:rPr>
        <w:t>（ACC-20代币），可存入NAC生态的生息 vault，获得除BTC本身增值外的额外收益。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赎回与销毁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用户将 </w:t>
      </w:r>
      <w:r>
        <w:rPr>
          <w:rFonts w:eastAsia="Consolas" w:ascii="Consolas" w:cs="Consolas" w:hAnsi="Consolas"/>
          <w:sz w:val="22"/>
          <w:shd w:fill="EFF0F1"/>
        </w:rPr>
        <w:t>nBTC</w:t>
      </w:r>
      <w:r>
        <w:rPr>
          <w:rFonts w:eastAsia="等线" w:ascii="Arial" w:cs="Arial" w:hAnsi="Arial"/>
          <w:sz w:val="22"/>
        </w:rPr>
        <w:t xml:space="preserve"> 发送回封装合约请求赎回。</w:t>
      </w:r>
    </w:p>
    <w:p>
      <w:pPr>
        <w:numPr>
          <w:numId w:val="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验证者委员会在NAC链上签名授权销毁。</w:t>
      </w:r>
    </w:p>
    <w:p>
      <w:pPr>
        <w:numPr>
          <w:numId w:val="3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销毁后，合约向服务商发出指令，服务商在比特币网络释放对应BTC给用户。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第四章：核心合约模板设计</w:t>
      </w:r>
      <w:bookmarkEnd w:id="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第6条 封装工厂合约（`WrapperFactoryForBTCV1.sol`）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contract WrapperFactoryForBTCV1 is IACC20, SovereigntyC0_Conditional {</w:t>
              <w:br/>
              <w:t xml:space="preserve">    bytes30 public gnacsCode; // 如: 990101-01-xx-xx... 代表“封装比特币”</w:t>
              <w:br/>
              <w:t xml:space="preserve">    address[] public validators;</w:t>
              <w:br/>
              <w:t xml:space="preserve">    uint256 public requiredSignatures;</w:t>
              <w:br/>
              <w:t xml:space="preserve">    </w:t>
              <w:br/>
              <w:t xml:space="preserve">    // 服务商 -&gt; XTZH缓冲池余额</w:t>
              <w:br/>
              <w:t xml:space="preserve">    mapping(address =&gt; uint256) public xtzhBufferingPool;</w:t>
              <w:br/>
              <w:t xml:space="preserve">    </w:t>
              <w:br/>
              <w:t xml:space="preserve">    // 动态质押率计算</w:t>
              <w:br/>
              <w:t xml:space="preserve">    function getDynamicCollateralRatio(bytes30 _gnacs) public view returns (uint256) {</w:t>
              <w:br/>
              <w:t xml:space="preserve">        uint8 baseRisk = extractRiskWeight(_gnacs); // 如：100%</w:t>
              <w:br/>
              <w:t xml:space="preserve">        uint8 serviceProviderRisk = getProviderRisk(msg.sender); // 根据信誉评级调整</w:t>
              <w:br/>
              <w:t xml:space="preserve">        uint8 marketVolatility = getVolatilityAdjustment(); // 根据市场波动调整</w:t>
              <w:br/>
              <w:t xml:space="preserve">        return baseRisk + serviceProviderRisk + marketVolatility; // 例如：100% + 20% + 5% = 125% 的XTZH超额质押</w:t>
              <w:br/>
              <w:t xml:space="preserve">    }</w:t>
              <w:br/>
              <w:t xml:space="preserve">    </w:t>
              <w:br/>
              <w:t xml:space="preserve">    // 验证者处罚</w:t>
              <w:br/>
              <w:t xml:space="preserve">    function slashValidator(address validator, uint256 amount) external onlyGovernance {</w:t>
              <w:br/>
              <w:t xml:space="preserve">        // 当验证者签署错误证明时，其质押的XTZH被罚没，部分加入风险缓冲池，部分销毁</w:t>
              <w:br/>
              <w:t xml:space="preserve">        IStaking(validators[validator]).slash(amount);</w:t>
              <w:br/>
              <w:t xml:space="preserve">    }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第7条 收益增强Vault合约（`YieldEnhancementVaultV1.sol`）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封装资产可存入此合约进行自动策略管理</w:t>
              <w:br/>
              <w:t>contract YieldEnhancementVaultV1 {</w:t>
              <w:br/>
              <w:t xml:space="preserve">    IERC20 public wrappedAsset; // nBTC</w:t>
              <w:br/>
              <w:t xml:space="preserve">    IERC20 public xtzhToken;</w:t>
              <w:br/>
              <w:t xml:space="preserve">    </w:t>
              <w:br/>
              <w:t xml:space="preserve">    function deposit(uint256 amount) external {</w:t>
              <w:br/>
              <w:t xml:space="preserve">        wrappedAsset.transferFrom(msg.sender, address(this), amount);</w:t>
              <w:br/>
              <w:t xml:space="preserve">        // 策略：将部分nBTC在NAC DEX中提供流动性，或将部分借出，收益以XTZH形式返还</w:t>
              <w:br/>
              <w:t xml:space="preserve">        _invest(amount);</w:t>
              <w:br/>
              <w:t xml:space="preserve">        mintShareToken(msg.sender, amount);</w:t>
              <w:br/>
              <w:t xml:space="preserve">    }</w:t>
              <w:br/>
              <w:t xml:space="preserve">    </w:t>
              <w:br/>
              <w:t xml:space="preserve">    function _invest(uint256 amount) internal {</w:t>
              <w:br/>
              <w:t xml:space="preserve">        // 示例策略逻辑</w:t>
              <w:br/>
              <w:t xml:space="preserve">        uint256 lendAmount = amount * 70 / 100;</w:t>
              <w:br/>
              <w:t xml:space="preserve">        ILendingPool(lendingPool).supply(wrappedAsset, lendAmount);</w:t>
              <w:br/>
              <w:t xml:space="preserve">        </w:t>
              <w:br/>
              <w:t xml:space="preserve">        uint256 lpAmount = amount * 30 / 100;</w:t>
              <w:br/>
              <w:t xml:space="preserve">        IDEX(dex).addLiquidity(lpAmount);</w:t>
              <w:br/>
              <w:t xml:space="preserve">        </w:t>
              <w:br/>
              <w:t xml:space="preserve">        // 所有收益转换为XTZH，定期分配给份额持有人</w:t>
              <w:br/>
              <w:t xml:space="preserve">    }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第五章：风险、合规与治理</w:t>
      </w:r>
      <w:bookmarkEnd w:id="12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第8条 特有风险提示</w:t>
      </w:r>
      <w:bookmarkEnd w:id="13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双重抵押品风险传导</w:t>
      </w:r>
      <w:r>
        <w:rPr>
          <w:rFonts w:eastAsia="等线" w:ascii="Arial" w:cs="Arial" w:hAnsi="Arial"/>
          <w:sz w:val="22"/>
        </w:rPr>
        <w:t>：BTC价格暴跌与XTZH价格暴跌可能同时发生，导致超额抵押率急速下降，引发连环清算。需要设置平滑的清算机制和全局风险监控。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跨链桥与验证者中心化风险</w:t>
      </w:r>
      <w:r>
        <w:rPr>
          <w:rFonts w:eastAsia="等线" w:ascii="Arial" w:cs="Arial" w:hAnsi="Arial"/>
          <w:sz w:val="22"/>
        </w:rPr>
        <w:t>：验证者委员会可能合谋作恶。需采用高成本的物理硬件隔离、持续随机洗牌以及严厉的罚没制度。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监管套利与合规冲突</w:t>
      </w:r>
      <w:r>
        <w:rPr>
          <w:rFonts w:eastAsia="等线" w:ascii="Arial" w:cs="Arial" w:hAnsi="Arial"/>
          <w:sz w:val="22"/>
        </w:rPr>
        <w:t>：封装资产可能在A国合规，但其底层资产交易在B国违规。需在GNACS编码中明确最终法律责任主体（封装服务商），并在用户协议中充分披露。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技术封装风险</w:t>
      </w:r>
      <w:r>
        <w:rPr>
          <w:rFonts w:eastAsia="等线" w:ascii="Arial" w:cs="Arial" w:hAnsi="Arial"/>
          <w:sz w:val="22"/>
        </w:rPr>
        <w:t>：底层区块链的硬分叉、升级可能导致封装资产技术逻辑失效。需建立应急预案和治理升级流程。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第9条 合规要点</w:t>
      </w:r>
      <w:bookmarkEnd w:id="14"/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明确法律主体</w:t>
      </w:r>
      <w:r>
        <w:rPr>
          <w:rFonts w:eastAsia="等线" w:ascii="Arial" w:cs="Arial" w:hAnsi="Arial"/>
          <w:sz w:val="22"/>
        </w:rPr>
        <w:t>：每一个封装资产系列必须对应一个明确的法律实体（封装服务商），承担反洗钱、用户资产托管等法律责任。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透明的储备证明与审计</w:t>
      </w:r>
      <w:r>
        <w:rPr>
          <w:rFonts w:eastAsia="等线" w:ascii="Arial" w:cs="Arial" w:hAnsi="Arial"/>
          <w:sz w:val="22"/>
        </w:rPr>
        <w:t>：服务商必须定期（如每日）通过梅克尔树等技术向NAC链上提交可验证的储备证明，并接受第三方审计。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投资者适当性</w:t>
      </w:r>
      <w:r>
        <w:rPr>
          <w:rFonts w:eastAsia="等线" w:ascii="Arial" w:cs="Arial" w:hAnsi="Arial"/>
          <w:sz w:val="22"/>
        </w:rPr>
        <w:t>：高风险类别的封装资产（如封装私募基金份额），其ACC-20代币必须集成强制性合格投资者验证模块。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结语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本指引旨在将NAC公链构建为一个 </w:t>
      </w:r>
      <w:r>
        <w:rPr>
          <w:rFonts w:eastAsia="等线" w:ascii="Arial" w:cs="Arial" w:hAnsi="Arial"/>
          <w:b w:val="true"/>
          <w:sz w:val="22"/>
        </w:rPr>
        <w:t>“主权数字资产央行”</w:t>
      </w:r>
      <w:r>
        <w:rPr>
          <w:rFonts w:eastAsia="等线" w:ascii="Arial" w:cs="Arial" w:hAnsi="Arial"/>
          <w:sz w:val="22"/>
        </w:rPr>
        <w:t xml:space="preserve"> ，通过引入经过严格风险定价的XTZH作为全局缓冲资本，使外部资产能够安全、合规且富有创造性地融入NAC生态。</w:t>
      </w:r>
      <w:r>
        <w:rPr>
          <w:rFonts w:eastAsia="等线" w:ascii="Arial" w:cs="Arial" w:hAnsi="Arial"/>
          <w:b w:val="true"/>
          <w:sz w:val="22"/>
        </w:rPr>
        <w:t>建议的首个概念验证（PoC）</w:t>
      </w:r>
      <w:r>
        <w:rPr>
          <w:rFonts w:eastAsia="等线" w:ascii="Arial" w:cs="Arial" w:hAnsi="Arial"/>
          <w:sz w:val="22"/>
        </w:rPr>
        <w:t xml:space="preserve"> 应选择与</w:t>
      </w:r>
      <w:r>
        <w:rPr>
          <w:rFonts w:eastAsia="等线" w:ascii="Arial" w:cs="Arial" w:hAnsi="Arial"/>
          <w:b w:val="true"/>
          <w:sz w:val="22"/>
        </w:rPr>
        <w:t>一家持牌数字资产托管机构</w:t>
      </w:r>
      <w:r>
        <w:rPr>
          <w:rFonts w:eastAsia="等线" w:ascii="Arial" w:cs="Arial" w:hAnsi="Arial"/>
          <w:sz w:val="22"/>
        </w:rPr>
        <w:t xml:space="preserve"> 合作，在NAC测试网上实现一个 </w:t>
      </w:r>
      <w:r>
        <w:rPr>
          <w:rFonts w:eastAsia="等线" w:ascii="Arial" w:cs="Arial" w:hAnsi="Arial"/>
          <w:b w:val="true"/>
          <w:sz w:val="22"/>
        </w:rPr>
        <w:t>“部分XTZH超额抵押的封装比特币（nBTC）”</w:t>
      </w:r>
      <w:r>
        <w:rPr>
          <w:rFonts w:eastAsia="等线" w:ascii="Arial" w:cs="Arial" w:hAnsi="Arial"/>
          <w:sz w:val="22"/>
        </w:rPr>
        <w:t xml:space="preserve"> 的完整周期，并模拟验证者作恶下的罚没与缓冲池补充流程，以验证其安全与经济模型的有效性。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指引制定方</w:t>
      </w:r>
      <w:r>
        <w:rPr>
          <w:rFonts w:eastAsia="等线" w:ascii="Arial" w:cs="Arial" w:hAnsi="Arial"/>
          <w:sz w:val="22"/>
        </w:rPr>
        <w:t>：NAC核心协议委员会 与 NAC跨链资产工作组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：V1.0 (数字资产封装原生公链版)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970922">
    <w:lvl>
      <w:start w:val="1"/>
      <w:numFmt w:val="decimal"/>
      <w:suff w:val="tab"/>
      <w:lvlText w:val="%1."/>
      <w:rPr>
        <w:color w:val="3370ff"/>
      </w:rPr>
    </w:lvl>
  </w:abstractNum>
  <w:abstractNum w:abstractNumId="970923">
    <w:lvl>
      <w:start w:val="2"/>
      <w:numFmt w:val="decimal"/>
      <w:suff w:val="tab"/>
      <w:lvlText w:val="%1."/>
      <w:rPr>
        <w:color w:val="3370ff"/>
      </w:rPr>
    </w:lvl>
  </w:abstractNum>
  <w:abstractNum w:abstractNumId="970924">
    <w:lvl>
      <w:start w:val="3"/>
      <w:numFmt w:val="decimal"/>
      <w:suff w:val="tab"/>
      <w:lvlText w:val="%1."/>
      <w:rPr>
        <w:color w:val="3370ff"/>
      </w:rPr>
    </w:lvl>
  </w:abstractNum>
  <w:abstractNum w:abstractNumId="970925">
    <w:lvl>
      <w:start w:val="4"/>
      <w:numFmt w:val="decimal"/>
      <w:suff w:val="tab"/>
      <w:lvlText w:val="%1."/>
      <w:rPr>
        <w:color w:val="3370ff"/>
      </w:rPr>
    </w:lvl>
  </w:abstractNum>
  <w:abstractNum w:abstractNumId="970926">
    <w:lvl>
      <w:start w:val="1"/>
      <w:numFmt w:val="decimal"/>
      <w:suff w:val="tab"/>
      <w:lvlText w:val="%1."/>
      <w:rPr>
        <w:color w:val="3370ff"/>
      </w:rPr>
    </w:lvl>
  </w:abstractNum>
  <w:abstractNum w:abstractNumId="970927">
    <w:lvl>
      <w:numFmt w:val="bullet"/>
      <w:suff w:val="tab"/>
      <w:lvlText w:val="￮"/>
      <w:rPr>
        <w:color w:val="3370ff"/>
      </w:rPr>
    </w:lvl>
  </w:abstractNum>
  <w:abstractNum w:abstractNumId="970928">
    <w:lvl>
      <w:numFmt w:val="bullet"/>
      <w:suff w:val="tab"/>
      <w:lvlText w:val="￮"/>
      <w:rPr>
        <w:color w:val="3370ff"/>
      </w:rPr>
    </w:lvl>
  </w:abstractNum>
  <w:abstractNum w:abstractNumId="970929">
    <w:lvl>
      <w:start w:val="2"/>
      <w:numFmt w:val="decimal"/>
      <w:suff w:val="tab"/>
      <w:lvlText w:val="%1."/>
      <w:rPr>
        <w:color w:val="3370ff"/>
      </w:rPr>
    </w:lvl>
  </w:abstractNum>
  <w:abstractNum w:abstractNumId="970930">
    <w:lvl>
      <w:start w:val="3"/>
      <w:numFmt w:val="decimal"/>
      <w:suff w:val="tab"/>
      <w:lvlText w:val="%1."/>
      <w:rPr>
        <w:color w:val="3370ff"/>
      </w:rPr>
    </w:lvl>
  </w:abstractNum>
  <w:abstractNum w:abstractNumId="970931">
    <w:lvl>
      <w:start w:val="4"/>
      <w:numFmt w:val="decimal"/>
      <w:suff w:val="tab"/>
      <w:lvlText w:val="%1."/>
      <w:rPr>
        <w:color w:val="3370ff"/>
      </w:rPr>
    </w:lvl>
  </w:abstractNum>
  <w:abstractNum w:abstractNumId="970932">
    <w:lvl>
      <w:numFmt w:val="bullet"/>
      <w:suff w:val="tab"/>
      <w:lvlText w:val="•"/>
      <w:rPr>
        <w:color w:val="3370ff"/>
      </w:rPr>
    </w:lvl>
  </w:abstractNum>
  <w:abstractNum w:abstractNumId="970933">
    <w:lvl>
      <w:numFmt w:val="bullet"/>
      <w:suff w:val="tab"/>
      <w:lvlText w:val="•"/>
      <w:rPr>
        <w:color w:val="3370ff"/>
      </w:rPr>
    </w:lvl>
  </w:abstractNum>
  <w:abstractNum w:abstractNumId="970934">
    <w:lvl>
      <w:numFmt w:val="bullet"/>
      <w:suff w:val="tab"/>
      <w:lvlText w:val="•"/>
      <w:rPr>
        <w:color w:val="3370ff"/>
      </w:rPr>
    </w:lvl>
  </w:abstractNum>
  <w:abstractNum w:abstractNumId="970935">
    <w:lvl>
      <w:numFmt w:val="bullet"/>
      <w:suff w:val="tab"/>
      <w:lvlText w:val="•"/>
      <w:rPr>
        <w:color w:val="3370ff"/>
      </w:rPr>
    </w:lvl>
  </w:abstractNum>
  <w:abstractNum w:abstractNumId="970936">
    <w:lvl>
      <w:start w:val="1"/>
      <w:numFmt w:val="decimal"/>
      <w:suff w:val="tab"/>
      <w:lvlText w:val="%1."/>
      <w:rPr>
        <w:color w:val="3370ff"/>
      </w:rPr>
    </w:lvl>
  </w:abstractNum>
  <w:abstractNum w:abstractNumId="970937">
    <w:lvl>
      <w:numFmt w:val="bullet"/>
      <w:suff w:val="tab"/>
      <w:lvlText w:val="￮"/>
      <w:rPr>
        <w:color w:val="3370ff"/>
      </w:rPr>
    </w:lvl>
  </w:abstractNum>
  <w:abstractNum w:abstractNumId="970938">
    <w:lvl>
      <w:numFmt w:val="bullet"/>
      <w:suff w:val="tab"/>
      <w:lvlText w:val="￮"/>
      <w:rPr>
        <w:color w:val="3370ff"/>
      </w:rPr>
    </w:lvl>
  </w:abstractNum>
  <w:abstractNum w:abstractNumId="970939">
    <w:lvl>
      <w:start w:val="2"/>
      <w:numFmt w:val="decimal"/>
      <w:suff w:val="tab"/>
      <w:lvlText w:val="%1."/>
      <w:rPr>
        <w:color w:val="3370ff"/>
      </w:rPr>
    </w:lvl>
  </w:abstractNum>
  <w:abstractNum w:abstractNumId="970940">
    <w:lvl>
      <w:numFmt w:val="bullet"/>
      <w:suff w:val="tab"/>
      <w:lvlText w:val="￮"/>
      <w:rPr>
        <w:color w:val="3370ff"/>
      </w:rPr>
    </w:lvl>
  </w:abstractNum>
  <w:abstractNum w:abstractNumId="970941">
    <w:lvl>
      <w:numFmt w:val="bullet"/>
      <w:suff w:val="tab"/>
      <w:lvlText w:val="￮"/>
      <w:rPr>
        <w:color w:val="3370ff"/>
      </w:rPr>
    </w:lvl>
  </w:abstractNum>
  <w:abstractNum w:abstractNumId="970942">
    <w:lvl>
      <w:start w:val="3"/>
      <w:numFmt w:val="decimal"/>
      <w:suff w:val="tab"/>
      <w:lvlText w:val="%1."/>
      <w:rPr>
        <w:color w:val="3370ff"/>
      </w:rPr>
    </w:lvl>
  </w:abstractNum>
  <w:abstractNum w:abstractNumId="970943">
    <w:lvl>
      <w:numFmt w:val="bullet"/>
      <w:suff w:val="tab"/>
      <w:lvlText w:val="￮"/>
      <w:rPr>
        <w:color w:val="3370ff"/>
      </w:rPr>
    </w:lvl>
  </w:abstractNum>
  <w:abstractNum w:abstractNumId="970944">
    <w:lvl>
      <w:numFmt w:val="bullet"/>
      <w:suff w:val="tab"/>
      <w:lvlText w:val="￮"/>
      <w:rPr>
        <w:color w:val="3370ff"/>
      </w:rPr>
    </w:lvl>
  </w:abstractNum>
  <w:abstractNum w:abstractNumId="970945">
    <w:lvl>
      <w:numFmt w:val="bullet"/>
      <w:suff w:val="tab"/>
      <w:lvlText w:val="￮"/>
      <w:rPr>
        <w:color w:val="3370ff"/>
      </w:rPr>
    </w:lvl>
  </w:abstractNum>
  <w:abstractNum w:abstractNumId="970946">
    <w:lvl>
      <w:start w:val="4"/>
      <w:numFmt w:val="decimal"/>
      <w:suff w:val="tab"/>
      <w:lvlText w:val="%1."/>
      <w:rPr>
        <w:color w:val="3370ff"/>
      </w:rPr>
    </w:lvl>
  </w:abstractNum>
  <w:abstractNum w:abstractNumId="970947">
    <w:lvl>
      <w:numFmt w:val="bullet"/>
      <w:suff w:val="tab"/>
      <w:lvlText w:val="￮"/>
      <w:rPr>
        <w:color w:val="3370ff"/>
      </w:rPr>
    </w:lvl>
  </w:abstractNum>
  <w:abstractNum w:abstractNumId="970948">
    <w:lvl>
      <w:start w:val="5"/>
      <w:numFmt w:val="decimal"/>
      <w:suff w:val="tab"/>
      <w:lvlText w:val="%1."/>
      <w:rPr>
        <w:color w:val="3370ff"/>
      </w:rPr>
    </w:lvl>
  </w:abstractNum>
  <w:abstractNum w:abstractNumId="970949">
    <w:lvl>
      <w:numFmt w:val="bullet"/>
      <w:suff w:val="tab"/>
      <w:lvlText w:val="￮"/>
      <w:rPr>
        <w:color w:val="3370ff"/>
      </w:rPr>
    </w:lvl>
  </w:abstractNum>
  <w:abstractNum w:abstractNumId="970950">
    <w:lvl>
      <w:numFmt w:val="bullet"/>
      <w:suff w:val="tab"/>
      <w:lvlText w:val="￮"/>
      <w:rPr>
        <w:color w:val="3370ff"/>
      </w:rPr>
    </w:lvl>
  </w:abstractNum>
  <w:abstractNum w:abstractNumId="970951">
    <w:lvl>
      <w:numFmt w:val="bullet"/>
      <w:suff w:val="tab"/>
      <w:lvlText w:val="￮"/>
      <w:rPr>
        <w:color w:val="3370ff"/>
      </w:rPr>
    </w:lvl>
  </w:abstractNum>
  <w:abstractNum w:abstractNumId="970952">
    <w:lvl>
      <w:start w:val="1"/>
      <w:numFmt w:val="decimal"/>
      <w:suff w:val="tab"/>
      <w:lvlText w:val="%1."/>
      <w:rPr>
        <w:color w:val="3370ff"/>
      </w:rPr>
    </w:lvl>
  </w:abstractNum>
  <w:abstractNum w:abstractNumId="970953">
    <w:lvl>
      <w:start w:val="2"/>
      <w:numFmt w:val="decimal"/>
      <w:suff w:val="tab"/>
      <w:lvlText w:val="%1."/>
      <w:rPr>
        <w:color w:val="3370ff"/>
      </w:rPr>
    </w:lvl>
  </w:abstractNum>
  <w:abstractNum w:abstractNumId="970954">
    <w:lvl>
      <w:start w:val="3"/>
      <w:numFmt w:val="decimal"/>
      <w:suff w:val="tab"/>
      <w:lvlText w:val="%1."/>
      <w:rPr>
        <w:color w:val="3370ff"/>
      </w:rPr>
    </w:lvl>
  </w:abstractNum>
  <w:abstractNum w:abstractNumId="970955">
    <w:lvl>
      <w:start w:val="4"/>
      <w:numFmt w:val="decimal"/>
      <w:suff w:val="tab"/>
      <w:lvlText w:val="%1."/>
      <w:rPr>
        <w:color w:val="3370ff"/>
      </w:rPr>
    </w:lvl>
  </w:abstractNum>
  <w:abstractNum w:abstractNumId="970956">
    <w:lvl>
      <w:numFmt w:val="bullet"/>
      <w:suff w:val="tab"/>
      <w:lvlText w:val="•"/>
      <w:rPr>
        <w:color w:val="3370ff"/>
      </w:rPr>
    </w:lvl>
  </w:abstractNum>
  <w:abstractNum w:abstractNumId="970957">
    <w:lvl>
      <w:numFmt w:val="bullet"/>
      <w:suff w:val="tab"/>
      <w:lvlText w:val="•"/>
      <w:rPr>
        <w:color w:val="3370ff"/>
      </w:rPr>
    </w:lvl>
  </w:abstractNum>
  <w:abstractNum w:abstractNumId="970958">
    <w:lvl>
      <w:numFmt w:val="bullet"/>
      <w:suff w:val="tab"/>
      <w:lvlText w:val="•"/>
      <w:rPr>
        <w:color w:val="3370ff"/>
      </w:rPr>
    </w:lvl>
  </w:abstractNum>
  <w:num w:numId="1">
    <w:abstractNumId w:val="970922"/>
  </w:num>
  <w:num w:numId="2">
    <w:abstractNumId w:val="970923"/>
  </w:num>
  <w:num w:numId="3">
    <w:abstractNumId w:val="970924"/>
  </w:num>
  <w:num w:numId="4">
    <w:abstractNumId w:val="970925"/>
  </w:num>
  <w:num w:numId="5">
    <w:abstractNumId w:val="970926"/>
  </w:num>
  <w:num w:numId="6">
    <w:abstractNumId w:val="970927"/>
  </w:num>
  <w:num w:numId="7">
    <w:abstractNumId w:val="970928"/>
  </w:num>
  <w:num w:numId="8">
    <w:abstractNumId w:val="970929"/>
  </w:num>
  <w:num w:numId="9">
    <w:abstractNumId w:val="970930"/>
  </w:num>
  <w:num w:numId="10">
    <w:abstractNumId w:val="970931"/>
  </w:num>
  <w:num w:numId="11">
    <w:abstractNumId w:val="970932"/>
  </w:num>
  <w:num w:numId="12">
    <w:abstractNumId w:val="970933"/>
  </w:num>
  <w:num w:numId="13">
    <w:abstractNumId w:val="970934"/>
  </w:num>
  <w:num w:numId="14">
    <w:abstractNumId w:val="970935"/>
  </w:num>
  <w:num w:numId="15">
    <w:abstractNumId w:val="970936"/>
  </w:num>
  <w:num w:numId="16">
    <w:abstractNumId w:val="970937"/>
  </w:num>
  <w:num w:numId="17">
    <w:abstractNumId w:val="970938"/>
  </w:num>
  <w:num w:numId="18">
    <w:abstractNumId w:val="970939"/>
  </w:num>
  <w:num w:numId="19">
    <w:abstractNumId w:val="970940"/>
  </w:num>
  <w:num w:numId="20">
    <w:abstractNumId w:val="970941"/>
  </w:num>
  <w:num w:numId="21">
    <w:abstractNumId w:val="970942"/>
  </w:num>
  <w:num w:numId="22">
    <w:abstractNumId w:val="970943"/>
  </w:num>
  <w:num w:numId="23">
    <w:abstractNumId w:val="970944"/>
  </w:num>
  <w:num w:numId="24">
    <w:abstractNumId w:val="970945"/>
  </w:num>
  <w:num w:numId="25">
    <w:abstractNumId w:val="970946"/>
  </w:num>
  <w:num w:numId="26">
    <w:abstractNumId w:val="970947"/>
  </w:num>
  <w:num w:numId="27">
    <w:abstractNumId w:val="970948"/>
  </w:num>
  <w:num w:numId="28">
    <w:abstractNumId w:val="970949"/>
  </w:num>
  <w:num w:numId="29">
    <w:abstractNumId w:val="970950"/>
  </w:num>
  <w:num w:numId="30">
    <w:abstractNumId w:val="970951"/>
  </w:num>
  <w:num w:numId="31">
    <w:abstractNumId w:val="970952"/>
  </w:num>
  <w:num w:numId="32">
    <w:abstractNumId w:val="970953"/>
  </w:num>
  <w:num w:numId="33">
    <w:abstractNumId w:val="970954"/>
  </w:num>
  <w:num w:numId="34">
    <w:abstractNumId w:val="970955"/>
  </w:num>
  <w:num w:numId="35">
    <w:abstractNumId w:val="970956"/>
  </w:num>
  <w:num w:numId="36">
    <w:abstractNumId w:val="970957"/>
  </w:num>
  <w:num w:numId="37">
    <w:abstractNumId w:val="970958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2026-02-02T15:02:03Z</dcterms:created>
  <dc:creator>Apache POI</dc:creator>
</cp:coreProperties>
</file>